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仿宋_GB2312" w:hAnsi="Times New Roman" w:eastAsia="仿宋_GB2312" w:cs="Times New Roman"/>
          <w:sz w:val="30"/>
          <w:szCs w:val="30"/>
        </w:rPr>
      </w:pPr>
      <w:bookmarkStart w:id="0" w:name="_GoBack"/>
      <w:bookmarkEnd w:id="0"/>
      <w:r>
        <w:rPr>
          <w:rFonts w:hint="eastAsia" w:ascii="仿宋_GB2312" w:hAnsi="Times New Roman" w:eastAsia="仿宋_GB2312" w:cs="Times New Roman"/>
          <w:sz w:val="30"/>
          <w:szCs w:val="30"/>
        </w:rPr>
        <w:t>附件</w:t>
      </w:r>
      <w:r>
        <w:rPr>
          <w:rFonts w:hint="eastAsia" w:ascii="仿宋_GB2312" w:hAnsi="Times New Roman" w:eastAsia="仿宋_GB2312" w:cs="Times New Roman"/>
          <w:sz w:val="30"/>
          <w:szCs w:val="30"/>
          <w:lang w:val="en-US" w:eastAsia="zh-CN"/>
        </w:rPr>
        <w:t>8</w:t>
      </w:r>
      <w:r>
        <w:rPr>
          <w:rFonts w:hint="eastAsia" w:ascii="仿宋_GB2312" w:hAnsi="Times New Roman" w:eastAsia="仿宋_GB2312" w:cs="Times New Roman"/>
          <w:sz w:val="30"/>
          <w:szCs w:val="30"/>
        </w:rPr>
        <w:t>：</w:t>
      </w:r>
    </w:p>
    <w:p>
      <w:pPr>
        <w:spacing w:line="600" w:lineRule="exact"/>
        <w:jc w:val="center"/>
        <w:rPr>
          <w:rFonts w:hint="eastAsia" w:ascii="宋体" w:hAnsi="宋体" w:eastAsia="宋体" w:cs="Times New Roman"/>
          <w:b/>
          <w:sz w:val="36"/>
          <w:szCs w:val="36"/>
          <w:lang w:val="en-US" w:eastAsia="zh-CN"/>
        </w:rPr>
      </w:pPr>
      <w:r>
        <w:rPr>
          <w:rFonts w:hint="eastAsia" w:ascii="宋体" w:hAnsi="宋体" w:eastAsia="宋体" w:cs="Times New Roman"/>
          <w:b/>
          <w:sz w:val="36"/>
          <w:szCs w:val="36"/>
        </w:rPr>
        <w:t>《20</w:t>
      </w:r>
      <w:r>
        <w:rPr>
          <w:rFonts w:hint="eastAsia" w:ascii="宋体" w:hAnsi="宋体" w:eastAsia="宋体" w:cs="Times New Roman"/>
          <w:b/>
          <w:sz w:val="36"/>
          <w:szCs w:val="36"/>
          <w:lang w:val="en-US" w:eastAsia="zh-CN"/>
        </w:rPr>
        <w:t>20</w:t>
      </w:r>
      <w:r>
        <w:rPr>
          <w:rFonts w:hint="eastAsia" w:ascii="宋体" w:hAnsi="宋体" w:eastAsia="宋体" w:cs="Times New Roman"/>
          <w:b/>
          <w:sz w:val="36"/>
          <w:szCs w:val="36"/>
        </w:rPr>
        <w:t>年度中国注册会计师协会委托</w:t>
      </w:r>
      <w:r>
        <w:rPr>
          <w:rFonts w:hint="eastAsia" w:ascii="宋体" w:hAnsi="宋体" w:eastAsia="宋体" w:cs="Times New Roman"/>
          <w:b/>
          <w:sz w:val="36"/>
          <w:szCs w:val="36"/>
          <w:lang w:eastAsia="zh-CN"/>
        </w:rPr>
        <w:t>厦门</w:t>
      </w:r>
      <w:r>
        <w:rPr>
          <w:rFonts w:hint="eastAsia" w:ascii="宋体" w:hAnsi="宋体" w:eastAsia="宋体" w:cs="Times New Roman"/>
          <w:b/>
          <w:sz w:val="36"/>
          <w:szCs w:val="36"/>
        </w:rPr>
        <w:t>国家会计学院培训计划》（共</w:t>
      </w:r>
      <w:r>
        <w:rPr>
          <w:rFonts w:hint="eastAsia" w:ascii="宋体" w:hAnsi="宋体" w:eastAsia="宋体" w:cs="Times New Roman"/>
          <w:b/>
          <w:sz w:val="36"/>
          <w:szCs w:val="36"/>
          <w:lang w:val="en-US" w:eastAsia="zh-CN"/>
        </w:rPr>
        <w:t>11</w:t>
      </w:r>
      <w:r>
        <w:rPr>
          <w:rFonts w:hint="eastAsia" w:ascii="宋体" w:hAnsi="宋体" w:eastAsia="宋体" w:cs="Times New Roman"/>
          <w:b/>
          <w:sz w:val="36"/>
          <w:szCs w:val="36"/>
        </w:rPr>
        <w:t>期）</w:t>
      </w:r>
    </w:p>
    <w:tbl>
      <w:tblPr>
        <w:tblStyle w:val="4"/>
        <w:tblpPr w:leftFromText="180" w:rightFromText="180" w:vertAnchor="text" w:horzAnchor="page" w:tblpXSpec="center" w:tblpY="606"/>
        <w:tblOverlap w:val="never"/>
        <w:tblW w:w="16128" w:type="dxa"/>
        <w:jc w:val="center"/>
        <w:shd w:val="clear" w:color="auto" w:fill="auto"/>
        <w:tblLayout w:type="autofit"/>
        <w:tblCellMar>
          <w:top w:w="0" w:type="dxa"/>
          <w:left w:w="0" w:type="dxa"/>
          <w:bottom w:w="0" w:type="dxa"/>
          <w:right w:w="0" w:type="dxa"/>
        </w:tblCellMar>
      </w:tblPr>
      <w:tblGrid>
        <w:gridCol w:w="404"/>
        <w:gridCol w:w="1034"/>
        <w:gridCol w:w="1080"/>
        <w:gridCol w:w="4585"/>
        <w:gridCol w:w="1335"/>
        <w:gridCol w:w="3044"/>
        <w:gridCol w:w="795"/>
        <w:gridCol w:w="840"/>
        <w:gridCol w:w="996"/>
        <w:gridCol w:w="920"/>
        <w:gridCol w:w="495"/>
        <w:gridCol w:w="600"/>
      </w:tblGrid>
      <w:tr>
        <w:tblPrEx>
          <w:shd w:val="clear" w:color="auto" w:fill="auto"/>
          <w:tblCellMar>
            <w:top w:w="0" w:type="dxa"/>
            <w:left w:w="0" w:type="dxa"/>
            <w:bottom w:w="0" w:type="dxa"/>
            <w:right w:w="0" w:type="dxa"/>
          </w:tblCellMar>
        </w:tblPrEx>
        <w:trPr>
          <w:trHeight w:val="1152" w:hRule="atLeast"/>
          <w:jc w:val="center"/>
        </w:trPr>
        <w:tc>
          <w:tcPr>
            <w:tcW w:w="4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仿宋" w:hAnsi="仿宋" w:eastAsia="仿宋" w:cs="仿宋"/>
                <w:b/>
                <w:i w:val="0"/>
                <w:color w:val="000000"/>
                <w:sz w:val="22"/>
                <w:szCs w:val="22"/>
                <w:u w:val="none"/>
              </w:rPr>
            </w:pPr>
            <w:r>
              <w:rPr>
                <w:rFonts w:hint="eastAsia" w:ascii="仿宋" w:hAnsi="仿宋" w:eastAsia="仿宋" w:cs="仿宋"/>
                <w:b/>
                <w:i w:val="0"/>
                <w:color w:val="000000"/>
                <w:kern w:val="0"/>
                <w:sz w:val="22"/>
                <w:szCs w:val="22"/>
                <w:u w:val="none"/>
                <w:lang w:val="en-US" w:eastAsia="zh-CN" w:bidi="ar"/>
              </w:rPr>
              <w:t>序号</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2"/>
                <w:szCs w:val="22"/>
                <w:u w:val="none"/>
              </w:rPr>
            </w:pPr>
            <w:r>
              <w:rPr>
                <w:rFonts w:hint="eastAsia" w:ascii="仿宋" w:hAnsi="仿宋" w:eastAsia="仿宋" w:cs="仿宋"/>
                <w:b/>
                <w:i w:val="0"/>
                <w:color w:val="000000"/>
                <w:kern w:val="0"/>
                <w:sz w:val="22"/>
                <w:szCs w:val="22"/>
                <w:u w:val="none"/>
                <w:lang w:val="en-US" w:eastAsia="zh-CN" w:bidi="ar"/>
              </w:rPr>
              <w:t>培训对象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2"/>
                <w:szCs w:val="22"/>
                <w:u w:val="none"/>
              </w:rPr>
            </w:pPr>
            <w:r>
              <w:rPr>
                <w:rFonts w:hint="eastAsia" w:ascii="仿宋" w:hAnsi="仿宋" w:eastAsia="仿宋" w:cs="仿宋"/>
                <w:b/>
                <w:i w:val="0"/>
                <w:color w:val="000000"/>
                <w:kern w:val="0"/>
                <w:sz w:val="22"/>
                <w:szCs w:val="22"/>
                <w:u w:val="none"/>
                <w:lang w:val="en-US" w:eastAsia="zh-CN" w:bidi="ar"/>
              </w:rPr>
              <w:t>培训班</w:t>
            </w:r>
            <w:r>
              <w:rPr>
                <w:rFonts w:hint="eastAsia" w:ascii="仿宋" w:hAnsi="仿宋" w:eastAsia="仿宋" w:cs="仿宋"/>
                <w:b/>
                <w:i w:val="0"/>
                <w:color w:val="000000"/>
                <w:kern w:val="0"/>
                <w:sz w:val="22"/>
                <w:szCs w:val="22"/>
                <w:u w:val="none"/>
                <w:lang w:val="en-US" w:eastAsia="zh-CN" w:bidi="ar"/>
              </w:rPr>
              <w:br w:type="textWrapping"/>
            </w:r>
            <w:r>
              <w:rPr>
                <w:rFonts w:hint="eastAsia" w:ascii="仿宋" w:hAnsi="仿宋" w:eastAsia="仿宋" w:cs="仿宋"/>
                <w:b/>
                <w:i w:val="0"/>
                <w:color w:val="000000"/>
                <w:kern w:val="0"/>
                <w:sz w:val="22"/>
                <w:szCs w:val="22"/>
                <w:u w:val="none"/>
                <w:lang w:val="en-US" w:eastAsia="zh-CN" w:bidi="ar"/>
              </w:rPr>
              <w:t>名称</w:t>
            </w:r>
          </w:p>
        </w:tc>
        <w:tc>
          <w:tcPr>
            <w:tcW w:w="458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2"/>
                <w:szCs w:val="22"/>
                <w:u w:val="none"/>
              </w:rPr>
            </w:pPr>
            <w:r>
              <w:rPr>
                <w:rFonts w:hint="eastAsia" w:ascii="仿宋" w:hAnsi="仿宋" w:eastAsia="仿宋" w:cs="仿宋"/>
                <w:b/>
                <w:i w:val="0"/>
                <w:color w:val="000000"/>
                <w:kern w:val="0"/>
                <w:sz w:val="22"/>
                <w:szCs w:val="22"/>
                <w:u w:val="none"/>
                <w:lang w:val="en-US" w:eastAsia="zh-CN" w:bidi="ar"/>
              </w:rPr>
              <w:t>培训内容</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2"/>
                <w:szCs w:val="22"/>
                <w:u w:val="none"/>
              </w:rPr>
            </w:pPr>
            <w:r>
              <w:rPr>
                <w:rFonts w:hint="eastAsia" w:ascii="仿宋" w:hAnsi="仿宋" w:eastAsia="仿宋" w:cs="仿宋"/>
                <w:b/>
                <w:i w:val="0"/>
                <w:color w:val="000000"/>
                <w:kern w:val="0"/>
                <w:sz w:val="22"/>
                <w:szCs w:val="22"/>
                <w:u w:val="none"/>
                <w:lang w:val="en-US" w:eastAsia="zh-CN" w:bidi="ar"/>
              </w:rPr>
              <w:t>授课师资</w:t>
            </w: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2"/>
                <w:szCs w:val="22"/>
                <w:u w:val="none"/>
              </w:rPr>
            </w:pPr>
            <w:r>
              <w:rPr>
                <w:rFonts w:hint="eastAsia" w:ascii="仿宋" w:hAnsi="仿宋" w:eastAsia="仿宋" w:cs="仿宋"/>
                <w:b/>
                <w:i w:val="0"/>
                <w:color w:val="000000"/>
                <w:kern w:val="0"/>
                <w:sz w:val="22"/>
                <w:szCs w:val="22"/>
                <w:u w:val="none"/>
                <w:lang w:val="en-US" w:eastAsia="zh-CN" w:bidi="ar"/>
              </w:rPr>
              <w:t>培训目标</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2"/>
                <w:szCs w:val="22"/>
                <w:u w:val="none"/>
              </w:rPr>
            </w:pPr>
            <w:r>
              <w:rPr>
                <w:rFonts w:hint="eastAsia" w:ascii="仿宋" w:hAnsi="仿宋" w:eastAsia="仿宋" w:cs="仿宋"/>
                <w:b/>
                <w:i w:val="0"/>
                <w:color w:val="000000"/>
                <w:kern w:val="0"/>
                <w:sz w:val="22"/>
                <w:szCs w:val="22"/>
                <w:u w:val="none"/>
                <w:lang w:val="en-US" w:eastAsia="zh-CN" w:bidi="ar"/>
              </w:rPr>
              <w:t>实施</w:t>
            </w:r>
            <w:r>
              <w:rPr>
                <w:rFonts w:hint="eastAsia" w:ascii="仿宋" w:hAnsi="仿宋" w:eastAsia="仿宋" w:cs="仿宋"/>
                <w:b/>
                <w:i w:val="0"/>
                <w:color w:val="000000"/>
                <w:kern w:val="0"/>
                <w:sz w:val="22"/>
                <w:szCs w:val="22"/>
                <w:u w:val="none"/>
                <w:lang w:val="en-US" w:eastAsia="zh-CN" w:bidi="ar"/>
              </w:rPr>
              <w:br w:type="textWrapping"/>
            </w:r>
            <w:r>
              <w:rPr>
                <w:rFonts w:hint="eastAsia" w:ascii="仿宋" w:hAnsi="仿宋" w:eastAsia="仿宋" w:cs="仿宋"/>
                <w:b/>
                <w:i w:val="0"/>
                <w:color w:val="000000"/>
                <w:kern w:val="0"/>
                <w:sz w:val="22"/>
                <w:szCs w:val="22"/>
                <w:u w:val="none"/>
                <w:lang w:val="en-US" w:eastAsia="zh-CN" w:bidi="ar"/>
              </w:rPr>
              <w:t>主体</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2"/>
                <w:szCs w:val="22"/>
                <w:u w:val="none"/>
              </w:rPr>
            </w:pPr>
            <w:r>
              <w:rPr>
                <w:rFonts w:hint="eastAsia" w:ascii="仿宋" w:hAnsi="仿宋" w:eastAsia="仿宋" w:cs="仿宋"/>
                <w:b/>
                <w:i w:val="0"/>
                <w:color w:val="000000"/>
                <w:kern w:val="0"/>
                <w:sz w:val="22"/>
                <w:szCs w:val="22"/>
                <w:u w:val="none"/>
                <w:lang w:val="en-US" w:eastAsia="zh-CN" w:bidi="ar"/>
              </w:rPr>
              <w:t>班型</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2"/>
                <w:szCs w:val="22"/>
                <w:u w:val="none"/>
              </w:rPr>
            </w:pPr>
            <w:r>
              <w:rPr>
                <w:rFonts w:hint="eastAsia" w:ascii="仿宋" w:hAnsi="仿宋" w:eastAsia="仿宋" w:cs="仿宋"/>
                <w:b/>
                <w:i w:val="0"/>
                <w:color w:val="000000"/>
                <w:kern w:val="0"/>
                <w:sz w:val="22"/>
                <w:szCs w:val="22"/>
                <w:u w:val="none"/>
                <w:lang w:val="en-US" w:eastAsia="zh-CN" w:bidi="ar"/>
              </w:rPr>
              <w:t>培训学时（个）</w:t>
            </w:r>
          </w:p>
        </w:tc>
        <w:tc>
          <w:tcPr>
            <w:tcW w:w="9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2"/>
                <w:szCs w:val="22"/>
                <w:u w:val="none"/>
              </w:rPr>
            </w:pPr>
            <w:r>
              <w:rPr>
                <w:rFonts w:hint="eastAsia" w:ascii="仿宋" w:hAnsi="仿宋" w:eastAsia="仿宋" w:cs="仿宋"/>
                <w:b/>
                <w:i w:val="0"/>
                <w:color w:val="000000"/>
                <w:kern w:val="0"/>
                <w:sz w:val="22"/>
                <w:szCs w:val="22"/>
                <w:u w:val="none"/>
                <w:lang w:val="en-US" w:eastAsia="zh-CN" w:bidi="ar"/>
              </w:rPr>
              <w:t>班级规模（人）</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2"/>
                <w:szCs w:val="22"/>
                <w:u w:val="none"/>
              </w:rPr>
            </w:pPr>
            <w:r>
              <w:rPr>
                <w:rFonts w:hint="eastAsia" w:ascii="仿宋" w:hAnsi="仿宋" w:eastAsia="仿宋" w:cs="仿宋"/>
                <w:b/>
                <w:i w:val="0"/>
                <w:color w:val="000000"/>
                <w:kern w:val="0"/>
                <w:sz w:val="22"/>
                <w:szCs w:val="22"/>
                <w:u w:val="none"/>
                <w:lang w:val="en-US" w:eastAsia="zh-CN" w:bidi="ar"/>
              </w:rPr>
              <w:t>时间</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2"/>
                <w:szCs w:val="22"/>
                <w:u w:val="none"/>
              </w:rPr>
            </w:pPr>
            <w:r>
              <w:rPr>
                <w:rFonts w:hint="eastAsia" w:ascii="仿宋" w:hAnsi="仿宋" w:eastAsia="仿宋" w:cs="仿宋"/>
                <w:b/>
                <w:i w:val="0"/>
                <w:color w:val="000000"/>
                <w:kern w:val="0"/>
                <w:sz w:val="22"/>
                <w:szCs w:val="22"/>
                <w:u w:val="none"/>
                <w:lang w:val="en-US" w:eastAsia="zh-CN" w:bidi="ar"/>
              </w:rPr>
              <w:t>地点</w:t>
            </w:r>
          </w:p>
        </w:tc>
      </w:tr>
      <w:tr>
        <w:tblPrEx>
          <w:shd w:val="clear" w:color="auto" w:fill="auto"/>
          <w:tblCellMar>
            <w:top w:w="0" w:type="dxa"/>
            <w:left w:w="0" w:type="dxa"/>
            <w:bottom w:w="0" w:type="dxa"/>
            <w:right w:w="0" w:type="dxa"/>
          </w:tblCellMar>
        </w:tblPrEx>
        <w:trPr>
          <w:trHeight w:val="2304" w:hRule="atLeast"/>
          <w:jc w:val="center"/>
        </w:trPr>
        <w:tc>
          <w:tcPr>
            <w:tcW w:w="4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经理级别以上人员</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医疗卫生机构业务研修班</w:t>
            </w:r>
          </w:p>
        </w:tc>
        <w:tc>
          <w:tcPr>
            <w:tcW w:w="458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1.医院会计制度、准则讲解；</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2.医院核心经济业务活动及审计重点分析；</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3.医院内部控制建设；</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4.医院全面预算管理和成本控制实务分析；</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5.医院信息化建设；</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6.医院财务管理创新；</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7.职业道德教育与诚信教育；</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8.现场案例教学。</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 xml:space="preserve">财政部、卫健委、各大医院、厦门会院等专家   </w:t>
            </w: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帮助注册会计师掌握医疗机构经营管理模式，提升其从事医疗领域业务能力</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中注协委托厦门会院</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研修班</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40</w:t>
            </w:r>
          </w:p>
        </w:tc>
        <w:tc>
          <w:tcPr>
            <w:tcW w:w="9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50</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8月</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厦门</w:t>
            </w:r>
          </w:p>
        </w:tc>
      </w:tr>
      <w:tr>
        <w:tblPrEx>
          <w:shd w:val="clear" w:color="auto" w:fill="auto"/>
          <w:tblCellMar>
            <w:top w:w="0" w:type="dxa"/>
            <w:left w:w="0" w:type="dxa"/>
            <w:bottom w:w="0" w:type="dxa"/>
            <w:right w:w="0" w:type="dxa"/>
          </w:tblCellMar>
        </w:tblPrEx>
        <w:trPr>
          <w:trHeight w:val="2592" w:hRule="atLeast"/>
          <w:jc w:val="center"/>
        </w:trPr>
        <w:tc>
          <w:tcPr>
            <w:tcW w:w="4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经理级别以上人员</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会计师事务所执业质量提升研修班</w:t>
            </w:r>
          </w:p>
        </w:tc>
        <w:tc>
          <w:tcPr>
            <w:tcW w:w="458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1.行业改革发展40周年回顾；</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2.会计师事务所质量控制体系建设介绍；</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3.注册会计师职业道德建设与案例讲解；</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4.风险导向审计案例介绍；</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5.注册会计师的法律责任与案例实务；</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6.财务舞弊防范与识别；</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7.境外审计失败案例和境外资本市场监管措施；</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8.诚信教育现场教学。</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证监会、厦门会院、会计师事务所、律师事务所等专家</w:t>
            </w: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促进注册会计师对行业改革发展历史的了解，增强其风险意识、职业道德与职业怀疑精神，掌握质量控制体系、风险导向审计等内容，使其掌握内部控制要点和风险防范重点，提升其抵御重大风险能力</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中注协委托厦门会院</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研修班</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40</w:t>
            </w:r>
          </w:p>
        </w:tc>
        <w:tc>
          <w:tcPr>
            <w:tcW w:w="9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50</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8月</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厦门</w:t>
            </w:r>
          </w:p>
        </w:tc>
      </w:tr>
      <w:tr>
        <w:tblPrEx>
          <w:shd w:val="clear" w:color="auto" w:fill="auto"/>
          <w:tblCellMar>
            <w:top w:w="0" w:type="dxa"/>
            <w:left w:w="0" w:type="dxa"/>
            <w:bottom w:w="0" w:type="dxa"/>
            <w:right w:w="0" w:type="dxa"/>
          </w:tblCellMar>
        </w:tblPrEx>
        <w:trPr>
          <w:trHeight w:val="2880" w:hRule="atLeast"/>
          <w:jc w:val="center"/>
        </w:trPr>
        <w:tc>
          <w:tcPr>
            <w:tcW w:w="4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中小会计师事务所合伙人级别人员</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宏观经济与政策解读研修班</w:t>
            </w:r>
          </w:p>
        </w:tc>
        <w:tc>
          <w:tcPr>
            <w:tcW w:w="458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1.党的十九届四中全会精神解读；</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2.行业改革发展40周年回顾；</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3.宏观经济形势分析、高质量发展政策解读；</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4.减税降费政策解读；</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5.人民币汇率波动走势相关问题分析；</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6.5G技术的发展与应用；</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7.当前国际形势热点问题分析；</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8.会计师事务所的生存与国际化发展等问题分析；</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9.现场案例教学。</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党校、发改委、社科院、中注协、党校、厦门会院、高等院校、会计师事务所等专家</w:t>
            </w: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帮助中小会计师事务所合伙人掌握十九届四中全会精神和当前国内外经济形势，了解行业改革发展历史，提升其抵御重大风险能力和对宏观形势、政策的把握能力</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中注协委托厦门会院</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研修班</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40</w:t>
            </w:r>
          </w:p>
        </w:tc>
        <w:tc>
          <w:tcPr>
            <w:tcW w:w="9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50</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9月</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厦门</w:t>
            </w:r>
          </w:p>
        </w:tc>
      </w:tr>
      <w:tr>
        <w:tblPrEx>
          <w:shd w:val="clear" w:color="auto" w:fill="auto"/>
          <w:tblCellMar>
            <w:top w:w="0" w:type="dxa"/>
            <w:left w:w="0" w:type="dxa"/>
            <w:bottom w:w="0" w:type="dxa"/>
            <w:right w:w="0" w:type="dxa"/>
          </w:tblCellMar>
        </w:tblPrEx>
        <w:trPr>
          <w:trHeight w:val="3168" w:hRule="atLeast"/>
          <w:jc w:val="center"/>
        </w:trPr>
        <w:tc>
          <w:tcPr>
            <w:tcW w:w="4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高级经理级别以上人员</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“一带一路”倡议与会计师事务所国际化业务研修班</w:t>
            </w:r>
          </w:p>
        </w:tc>
        <w:tc>
          <w:tcPr>
            <w:tcW w:w="458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1.“一带一路”倡议政策解读；</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2.“一带一路”倡议发展情况及对行业的影响；</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3.“一带一路”倡议下走出去企业的税收风险与纳税筹划；</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4.“一带一路”倡议外汇风险分析与管理；</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5.“一带一路”倡议沿线国家可持续发展水平及对中资企业投资的影响；</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6.面向国际化的会计师事务所治理与准备；</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7.走出去企业财务工作经验分享；</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8.现场案例教学。</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厦门会院、高等院校、相关研究机构等专家</w:t>
            </w: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帮助注册会计师掌握“一带一路”倡议相关政策及发展情况，以及相关投资、税收风险等内容，提升其服务“一带一路”倡议能力和自身国际化发展能力</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中注协委托厦门会院</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研修班</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40</w:t>
            </w:r>
          </w:p>
        </w:tc>
        <w:tc>
          <w:tcPr>
            <w:tcW w:w="9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50</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11月</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厦门</w:t>
            </w:r>
          </w:p>
        </w:tc>
      </w:tr>
      <w:tr>
        <w:tblPrEx>
          <w:shd w:val="clear" w:color="auto" w:fill="auto"/>
          <w:tblCellMar>
            <w:top w:w="0" w:type="dxa"/>
            <w:left w:w="0" w:type="dxa"/>
            <w:bottom w:w="0" w:type="dxa"/>
            <w:right w:w="0" w:type="dxa"/>
          </w:tblCellMar>
        </w:tblPrEx>
        <w:trPr>
          <w:trHeight w:val="2304" w:hRule="atLeast"/>
          <w:jc w:val="center"/>
        </w:trPr>
        <w:tc>
          <w:tcPr>
            <w:tcW w:w="4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经理级别以上人员</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政府会计制度研讨班</w:t>
            </w:r>
          </w:p>
        </w:tc>
        <w:tc>
          <w:tcPr>
            <w:tcW w:w="458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1.新政府会计制度难点问题解析与实施应用；</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2.政府会计准则实施中的重点难点解析；</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3.政府财务报告编制方法与实务；</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4.人工智能在政府会计中的应用；</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5.政府会计准则、制度讲解与政府财务报告编制讲解；</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6.财务舞弊手法与发现；</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7.审计失败案例讲解。</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厦门会院、高等院校、会计师事务所等专家</w:t>
            </w: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帮助注册会计师掌握政府会计改革相关政策，提升其承接相关业务能力</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中注协委托厦门会院</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研讨班</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40</w:t>
            </w:r>
          </w:p>
        </w:tc>
        <w:tc>
          <w:tcPr>
            <w:tcW w:w="9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80</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5月</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厦门</w:t>
            </w:r>
          </w:p>
        </w:tc>
      </w:tr>
      <w:tr>
        <w:tblPrEx>
          <w:shd w:val="clear" w:color="auto" w:fill="auto"/>
          <w:tblCellMar>
            <w:top w:w="0" w:type="dxa"/>
            <w:left w:w="0" w:type="dxa"/>
            <w:bottom w:w="0" w:type="dxa"/>
            <w:right w:w="0" w:type="dxa"/>
          </w:tblCellMar>
        </w:tblPrEx>
        <w:trPr>
          <w:trHeight w:val="2880" w:hRule="atLeast"/>
          <w:jc w:val="center"/>
        </w:trPr>
        <w:tc>
          <w:tcPr>
            <w:tcW w:w="4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经理级别以上人员</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中小会计师事务所管理咨询研讨班</w:t>
            </w:r>
          </w:p>
        </w:tc>
        <w:tc>
          <w:tcPr>
            <w:tcW w:w="458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1.会计师事务所如何理解和挖掘企业管理咨询需求；</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2.中小会计师事务所非审计业务咨询；</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3.企业内部控制咨询业务的整个程序讲解；</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4.中小民营企业战略管理咨询业务拓展；</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5.“三农”领域专业鉴证与咨询案例分享；</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6.中小企业信息化咨询服务；</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7.提升审计质量与完善内部治理；</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8.乡村振兴中基础设施建设政策与专项审计;</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9.IT咨询业务拓展。</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厦门会院、高等院校、咨询机构、会计师事务所等专家</w:t>
            </w: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帮助中小会计师事务所注册会计师掌握不同领域管理咨询业务特点，提升其审计和咨询服务能力</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中注协委托厦门会院</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研讨班</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40</w:t>
            </w:r>
          </w:p>
        </w:tc>
        <w:tc>
          <w:tcPr>
            <w:tcW w:w="9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80</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6月</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厦门</w:t>
            </w:r>
          </w:p>
        </w:tc>
      </w:tr>
      <w:tr>
        <w:tblPrEx>
          <w:shd w:val="clear" w:color="auto" w:fill="auto"/>
          <w:tblCellMar>
            <w:top w:w="0" w:type="dxa"/>
            <w:left w:w="0" w:type="dxa"/>
            <w:bottom w:w="0" w:type="dxa"/>
            <w:right w:w="0" w:type="dxa"/>
          </w:tblCellMar>
        </w:tblPrEx>
        <w:trPr>
          <w:trHeight w:val="3168" w:hRule="atLeast"/>
          <w:jc w:val="center"/>
        </w:trPr>
        <w:tc>
          <w:tcPr>
            <w:tcW w:w="4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7</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经理级别以上人员</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金融稳定与风险管控研讨班</w:t>
            </w:r>
          </w:p>
        </w:tc>
        <w:tc>
          <w:tcPr>
            <w:tcW w:w="458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1.宏观经济形势分析、高质量发展政策解读；</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2.永续债相关会计处理规定解读；</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3.金融改革、金融风险相关问题讲解；</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4.金融市场、金融产品相关问题讲解；</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5.资本市场改革相关问题讲解；</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6.人民币国际化相关问题讲解；</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7.银行业转型与变革；</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8.金融机构内审实务讲解；</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9.证券市场相关问题讲解；</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10.区块链技术与电子签名、电子印章、电子证照、电子档案、电子函证的应用。</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商业银行审计指引起草组、监管机构、厦门会院、高等院校、会计师事务所等专家</w:t>
            </w: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学习领会中央精神，帮助注册会计师掌握金融行业的最新政策，拓展其宏观视野，提升其承接相关业务能力</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中注协委托厦门会院</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研讨班</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40</w:t>
            </w:r>
          </w:p>
        </w:tc>
        <w:tc>
          <w:tcPr>
            <w:tcW w:w="9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80</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8月</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厦门</w:t>
            </w:r>
          </w:p>
        </w:tc>
      </w:tr>
      <w:tr>
        <w:tblPrEx>
          <w:shd w:val="clear" w:color="auto" w:fill="auto"/>
          <w:tblCellMar>
            <w:top w:w="0" w:type="dxa"/>
            <w:left w:w="0" w:type="dxa"/>
            <w:bottom w:w="0" w:type="dxa"/>
            <w:right w:w="0" w:type="dxa"/>
          </w:tblCellMar>
        </w:tblPrEx>
        <w:trPr>
          <w:trHeight w:val="3744" w:hRule="atLeast"/>
          <w:jc w:val="center"/>
        </w:trPr>
        <w:tc>
          <w:tcPr>
            <w:tcW w:w="4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8</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中小会计师事务所合伙人级别人员</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注册会计师职业技能研讨班</w:t>
            </w:r>
          </w:p>
        </w:tc>
        <w:tc>
          <w:tcPr>
            <w:tcW w:w="458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1.党的十九届四中全会精神解读；</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2.行业改革发展40周年回顾；</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3.会计师事务所如何提升审计质量；</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4.注册会计师行业职业化建设；</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5.注册会计师法律风险讲解；</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6.大数据、信息化等分析工具在审计中的应用；</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7.注册会计师业务与写作表达技能提升；</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8.会计师事务所标书制作与现场陈述讲解；</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9.团队建设、沟通、激励、谈判相关问题分析；</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10.注册会计师职业价值观、职业道德与职业态度。</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党校、中注协、厦门会院、高等院校、会计师事务所等专家</w:t>
            </w: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帮助中小会计师事务所合伙人领会党的十九届四中全会精神，了解行业改革发展历史，掌握注册会计师所要具备的各种技能，提升其提升抵御重大风险能力、综合素质和胜任能力</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中注协委托厦门会院</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研讨班</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40</w:t>
            </w:r>
          </w:p>
        </w:tc>
        <w:tc>
          <w:tcPr>
            <w:tcW w:w="9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80</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9月</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厦门</w:t>
            </w:r>
          </w:p>
        </w:tc>
      </w:tr>
      <w:tr>
        <w:tblPrEx>
          <w:shd w:val="clear" w:color="auto" w:fill="auto"/>
          <w:tblCellMar>
            <w:top w:w="0" w:type="dxa"/>
            <w:left w:w="0" w:type="dxa"/>
            <w:bottom w:w="0" w:type="dxa"/>
            <w:right w:w="0" w:type="dxa"/>
          </w:tblCellMar>
        </w:tblPrEx>
        <w:trPr>
          <w:trHeight w:val="2592" w:hRule="atLeast"/>
          <w:jc w:val="center"/>
        </w:trPr>
        <w:tc>
          <w:tcPr>
            <w:tcW w:w="4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9</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经备案可从事证券服务业务会计师事务所经理级别以上人员</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企业并购重组与IPO审计研讨班</w:t>
            </w:r>
          </w:p>
        </w:tc>
        <w:tc>
          <w:tcPr>
            <w:tcW w:w="458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1.IPO常见会计审计问题讲解；</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2.企业并购重组与IPO过程中的税务问题讲解；</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3.IPO审计的客户承接与审计计划制定；</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4.证券市场相关问题讲解；</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5.并购重组中的会计问题讲解；</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6.并购重组评估实务及案例讲解；</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7.企业估值与并购问题讲解；</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8.企业资本交易的财税处理及案例借鉴讲解；</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9.永续债相关会计处理的规定讲解。</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厦门会院、高等院校、会计师事务所等专家</w:t>
            </w: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帮助注册会计师掌握并购重组和IPO审计中常见审计问题和相关税务问题，提升其承接相关业务能力</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中注协委托厦门会院</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研讨班</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40</w:t>
            </w:r>
          </w:p>
        </w:tc>
        <w:tc>
          <w:tcPr>
            <w:tcW w:w="9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80</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10月</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厦门</w:t>
            </w:r>
          </w:p>
        </w:tc>
      </w:tr>
      <w:tr>
        <w:tblPrEx>
          <w:shd w:val="clear" w:color="auto" w:fill="auto"/>
          <w:tblCellMar>
            <w:top w:w="0" w:type="dxa"/>
            <w:left w:w="0" w:type="dxa"/>
            <w:bottom w:w="0" w:type="dxa"/>
            <w:right w:w="0" w:type="dxa"/>
          </w:tblCellMar>
        </w:tblPrEx>
        <w:trPr>
          <w:trHeight w:val="2880" w:hRule="atLeast"/>
          <w:jc w:val="center"/>
        </w:trPr>
        <w:tc>
          <w:tcPr>
            <w:tcW w:w="4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10</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经理级别以上人员</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财政投资绩效评价培训班</w:t>
            </w:r>
          </w:p>
        </w:tc>
        <w:tc>
          <w:tcPr>
            <w:tcW w:w="458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1.党的十九届四中全会精神解读；</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2.国库集中支付政策讲解；</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3.国库集中支付电子化管理与动态监控管理；</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4.新时代财政管理监督与财政风险管理；</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5.财政投资预算制度与审核；</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6.如何审查政府预算与部门预算；</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7.财政投资绩效评价操作规程；</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8.财政投资绩效评价指标体系设计；</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9.财政支出绩效评价实务与案例讲解；</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10.地方财政投资绩效评价经验介绍。</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党校、财政部门、中注协、会计师事务所等专家</w:t>
            </w: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帮助注册会计师掌握党的十九届四中全会精神和新时代背景下财政管理、国库集中支付政策，使其熟悉财政投资绩效评价从政策到具体业务实施的全流程内容，提升其承接相关业务能力</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中注协委托厦门会院</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培训班</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40</w:t>
            </w:r>
          </w:p>
        </w:tc>
        <w:tc>
          <w:tcPr>
            <w:tcW w:w="9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120</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6月</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厦门</w:t>
            </w:r>
          </w:p>
        </w:tc>
      </w:tr>
      <w:tr>
        <w:tblPrEx>
          <w:shd w:val="clear" w:color="auto" w:fill="auto"/>
          <w:tblCellMar>
            <w:top w:w="0" w:type="dxa"/>
            <w:left w:w="0" w:type="dxa"/>
            <w:bottom w:w="0" w:type="dxa"/>
            <w:right w:w="0" w:type="dxa"/>
          </w:tblCellMar>
        </w:tblPrEx>
        <w:trPr>
          <w:trHeight w:val="3168" w:hRule="atLeast"/>
          <w:jc w:val="center"/>
        </w:trPr>
        <w:tc>
          <w:tcPr>
            <w:tcW w:w="4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11</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中小会计师事务所经理级别以上人员（定向班）</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中小会计师事务所热点难点培训班</w:t>
            </w:r>
          </w:p>
        </w:tc>
        <w:tc>
          <w:tcPr>
            <w:tcW w:w="458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1.新会计准则解读（收入、租赁、债务重组等准则）；</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2.审计准则问题解答第1号、第2号、第4号、第6号和第12号解读；</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3.小型企业财务报表审计工作底稿编制指南解读；</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4.中小企业内部审计与数据分析应用；</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5.审计质量提升与审计失败案例分析；</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6.中小企业管理会计工具与咨询服务讲解；</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7.中小会计师事务所发展和管理思考；</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8.中小会计师事务所非审计业务拓展。</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厦门会院、中注协、高等院校、会计师事务所等专家</w:t>
            </w:r>
          </w:p>
        </w:tc>
        <w:tc>
          <w:tcPr>
            <w:tcW w:w="304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帮助注册会计师掌握会计准则和审计准则的最新变化，通过审计失败案例、管理会计咨询、非审计业务等讲解，提升其承接相关业务能力</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中注协委托厦门会院</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培训班</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40</w:t>
            </w:r>
          </w:p>
        </w:tc>
        <w:tc>
          <w:tcPr>
            <w:tcW w:w="9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150</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7月</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厦门</w:t>
            </w:r>
          </w:p>
        </w:tc>
      </w:tr>
    </w:tbl>
    <w:p>
      <w:pPr>
        <w:jc w:val="both"/>
      </w:pPr>
    </w:p>
    <w:sectPr>
      <w:footerReference r:id="rId3" w:type="default"/>
      <w:pgSz w:w="16838" w:h="11906" w:orient="landscape"/>
      <w:pgMar w:top="1800" w:right="1440" w:bottom="1800" w:left="1440" w:header="851" w:footer="992" w:gutter="0"/>
      <w:pgBorders>
        <w:top w:val="none" w:sz="0" w:space="0"/>
        <w:left w:val="none" w:sz="0" w:space="0"/>
        <w:bottom w:val="none" w:sz="0" w:space="0"/>
        <w:right w:val="none" w:sz="0" w:space="0"/>
      </w:pgBorders>
      <w:pgNumType w:fmt="decimal" w:start="4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sdt>
                <w:sdtPr>
                  <w:id w:val="12400485"/>
                </w:sdtPr>
                <w:sdtContent>
                  <w:p>
                    <w:pPr>
                      <w:pStyle w:val="2"/>
                      <w:jc w:val="center"/>
                    </w:pPr>
                    <w:r>
                      <w:fldChar w:fldCharType="begin"/>
                    </w:r>
                    <w:r>
                      <w:instrText xml:space="preserve"> PAGE   \* MERGEFORMAT </w:instrText>
                    </w:r>
                    <w:r>
                      <w:fldChar w:fldCharType="separate"/>
                    </w:r>
                    <w:r>
                      <w:rPr>
                        <w:lang w:val="zh-CN"/>
                      </w:rPr>
                      <w:t>38</w:t>
                    </w:r>
                    <w:r>
                      <w:rPr>
                        <w:lang w:val="zh-CN"/>
                      </w:rPr>
                      <w:fldChar w:fldCharType="end"/>
                    </w:r>
                  </w:p>
                </w:sdtContent>
              </w:sdt>
              <w:p/>
            </w:txbxContent>
          </v:textbox>
        </v:shape>
      </w:pict>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83B75"/>
    <w:rsid w:val="000372FC"/>
    <w:rsid w:val="000B3B16"/>
    <w:rsid w:val="00183B75"/>
    <w:rsid w:val="003F2D3F"/>
    <w:rsid w:val="006D442F"/>
    <w:rsid w:val="00B379B2"/>
    <w:rsid w:val="00B57066"/>
    <w:rsid w:val="00C92660"/>
    <w:rsid w:val="00DB4B50"/>
    <w:rsid w:val="0DB15DE1"/>
    <w:rsid w:val="1FE81922"/>
    <w:rsid w:val="2C845F0D"/>
    <w:rsid w:val="377E7EB7"/>
    <w:rsid w:val="3A1C4834"/>
    <w:rsid w:val="3EBF1E8C"/>
    <w:rsid w:val="40797E79"/>
    <w:rsid w:val="451E6A1F"/>
    <w:rsid w:val="5B1D45EC"/>
    <w:rsid w:val="645339B4"/>
    <w:rsid w:val="657277DA"/>
    <w:rsid w:val="7BAE64D5"/>
    <w:rsid w:val="7BDC25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qFormat/>
    <w:uiPriority w:val="99"/>
    <w:rPr>
      <w:sz w:val="18"/>
      <w:szCs w:val="18"/>
    </w:rPr>
  </w:style>
  <w:style w:type="character" w:customStyle="1" w:styleId="8">
    <w:name w:val="font21"/>
    <w:basedOn w:val="5"/>
    <w:qFormat/>
    <w:uiPriority w:val="0"/>
    <w:rPr>
      <w:rFonts w:hint="eastAsia" w:ascii="仿宋" w:hAnsi="仿宋" w:eastAsia="仿宋" w:cs="仿宋"/>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745</Words>
  <Characters>4253</Characters>
  <Lines>35</Lines>
  <Paragraphs>9</Paragraphs>
  <TotalTime>15</TotalTime>
  <ScaleCrop>false</ScaleCrop>
  <LinksUpToDate>false</LinksUpToDate>
  <CharactersWithSpaces>4989</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2016-04-27T06:56:00Z</dcterms:created>
  <dc:creator>hp</dc:creator>
  <cp:lastModifiedBy>叶慧</cp:lastModifiedBy>
  <dcterms:modified xsi:type="dcterms:W3CDTF">2020-06-09T08:51:59Z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