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AA6" w:rsidRDefault="00345AA6" w:rsidP="00345AA6">
      <w:pPr>
        <w:spacing w:line="560" w:lineRule="exact"/>
        <w:jc w:val="center"/>
        <w:rPr>
          <w:rFonts w:eastAsia="方正小标宋简体" w:cs="Times New Roman"/>
          <w:sz w:val="44"/>
          <w:szCs w:val="44"/>
        </w:rPr>
      </w:pPr>
      <w:bookmarkStart w:id="0" w:name="_GoBack"/>
      <w:r>
        <w:rPr>
          <w:rFonts w:eastAsia="方正小标宋简体" w:cs="Times New Roman" w:hint="eastAsia"/>
          <w:sz w:val="44"/>
          <w:szCs w:val="44"/>
        </w:rPr>
        <w:t>关于《上海市单用途预付消费卡管理规定（修订草案）》的说明</w:t>
      </w:r>
    </w:p>
    <w:bookmarkEnd w:id="0"/>
    <w:p w:rsidR="00345AA6" w:rsidRDefault="00345AA6" w:rsidP="00345AA6">
      <w:pPr>
        <w:spacing w:line="560" w:lineRule="exact"/>
        <w:ind w:firstLineChars="200" w:firstLine="640"/>
        <w:rPr>
          <w:rFonts w:ascii="黑体" w:eastAsia="黑体" w:hAnsi="黑体" w:cs="Times New Roman" w:hint="eastAsia"/>
          <w:szCs w:val="32"/>
        </w:rPr>
      </w:pPr>
    </w:p>
    <w:p w:rsidR="00345AA6" w:rsidRDefault="00345AA6" w:rsidP="00345AA6">
      <w:pPr>
        <w:spacing w:line="560" w:lineRule="exact"/>
        <w:ind w:firstLineChars="200" w:firstLine="640"/>
        <w:rPr>
          <w:rFonts w:ascii="黑体" w:eastAsia="黑体" w:hAnsi="黑体" w:cs="黑体" w:hint="eastAsia"/>
          <w:szCs w:val="32"/>
        </w:rPr>
      </w:pPr>
      <w:r>
        <w:rPr>
          <w:rFonts w:ascii="黑体" w:eastAsia="黑体" w:hAnsi="黑体" w:cs="Times New Roman" w:hint="eastAsia"/>
          <w:szCs w:val="32"/>
        </w:rPr>
        <w:t>一、</w:t>
      </w:r>
      <w:r>
        <w:rPr>
          <w:rFonts w:ascii="黑体" w:eastAsia="黑体" w:hAnsi="黑体" w:cs="黑体" w:hint="eastAsia"/>
          <w:szCs w:val="32"/>
        </w:rPr>
        <w:t>修改背景</w:t>
      </w:r>
    </w:p>
    <w:p w:rsidR="00345AA6" w:rsidRDefault="00345AA6" w:rsidP="00345AA6">
      <w:pPr>
        <w:spacing w:line="560" w:lineRule="exact"/>
        <w:ind w:firstLineChars="200" w:firstLine="640"/>
        <w:rPr>
          <w:rFonts w:cs="Times New Roman"/>
          <w:szCs w:val="32"/>
        </w:rPr>
      </w:pPr>
      <w:r>
        <w:rPr>
          <w:rFonts w:cs="Times New Roman" w:hint="eastAsia"/>
          <w:szCs w:val="32"/>
        </w:rPr>
        <w:t>单用途预付消费卡（以下简称单用途卡）</w:t>
      </w:r>
      <w:r>
        <w:rPr>
          <w:rFonts w:cs="Times New Roman"/>
          <w:szCs w:val="32"/>
        </w:rPr>
        <w:t>在</w:t>
      </w:r>
      <w:r>
        <w:rPr>
          <w:rFonts w:cs="Times New Roman" w:hint="eastAsia"/>
          <w:szCs w:val="32"/>
        </w:rPr>
        <w:t>生活消费、</w:t>
      </w:r>
      <w:r>
        <w:rPr>
          <w:rFonts w:cs="Times New Roman"/>
          <w:szCs w:val="32"/>
        </w:rPr>
        <w:t>教育培训、体育健身等多领域广泛应用</w:t>
      </w:r>
      <w:r>
        <w:rPr>
          <w:rFonts w:cs="Times New Roman" w:hint="eastAsia"/>
          <w:szCs w:val="32"/>
        </w:rPr>
        <w:t>，对刺激消费需求、扩大市场规模发挥了一定作用</w:t>
      </w:r>
      <w:r>
        <w:rPr>
          <w:rFonts w:cs="Times New Roman"/>
          <w:szCs w:val="32"/>
        </w:rPr>
        <w:t>。</w:t>
      </w:r>
      <w:r>
        <w:rPr>
          <w:szCs w:val="32"/>
        </w:rPr>
        <w:t>2018年7月，</w:t>
      </w:r>
      <w:r>
        <w:rPr>
          <w:rFonts w:hint="eastAsia"/>
          <w:szCs w:val="32"/>
        </w:rPr>
        <w:t>我市</w:t>
      </w:r>
      <w:r>
        <w:rPr>
          <w:szCs w:val="32"/>
        </w:rPr>
        <w:t>出台</w:t>
      </w:r>
      <w:r>
        <w:rPr>
          <w:rFonts w:hint="eastAsia"/>
          <w:szCs w:val="32"/>
        </w:rPr>
        <w:t>了</w:t>
      </w:r>
      <w:r>
        <w:rPr>
          <w:szCs w:val="32"/>
        </w:rPr>
        <w:t>全国首部规范</w:t>
      </w:r>
      <w:r>
        <w:rPr>
          <w:rFonts w:hint="eastAsia"/>
          <w:szCs w:val="32"/>
        </w:rPr>
        <w:t>单用途卡</w:t>
      </w:r>
      <w:r>
        <w:rPr>
          <w:szCs w:val="32"/>
        </w:rPr>
        <w:t>的地方性法规《上海市</w:t>
      </w:r>
      <w:r>
        <w:rPr>
          <w:rFonts w:cs="Times New Roman" w:hint="eastAsia"/>
          <w:szCs w:val="32"/>
        </w:rPr>
        <w:t>单用途预付消费卡</w:t>
      </w:r>
      <w:r>
        <w:rPr>
          <w:szCs w:val="32"/>
        </w:rPr>
        <w:t>管理规定》（以下简称</w:t>
      </w:r>
      <w:r>
        <w:rPr>
          <w:rFonts w:hint="eastAsia"/>
          <w:szCs w:val="32"/>
        </w:rPr>
        <w:t>《管理</w:t>
      </w:r>
      <w:r>
        <w:rPr>
          <w:szCs w:val="32"/>
        </w:rPr>
        <w:t>规定</w:t>
      </w:r>
      <w:r>
        <w:rPr>
          <w:rFonts w:hint="eastAsia"/>
          <w:szCs w:val="32"/>
        </w:rPr>
        <w:t>》</w:t>
      </w:r>
      <w:r>
        <w:rPr>
          <w:szCs w:val="32"/>
        </w:rPr>
        <w:t>），在</w:t>
      </w:r>
      <w:r>
        <w:rPr>
          <w:rFonts w:hint="eastAsia"/>
          <w:szCs w:val="32"/>
        </w:rPr>
        <w:t>加强</w:t>
      </w:r>
      <w:r>
        <w:rPr>
          <w:rFonts w:cs="Times New Roman" w:hint="eastAsia"/>
          <w:szCs w:val="32"/>
        </w:rPr>
        <w:t>单用途卡管理、</w:t>
      </w:r>
      <w:r>
        <w:rPr>
          <w:rFonts w:hint="eastAsia"/>
          <w:szCs w:val="32"/>
        </w:rPr>
        <w:t>规范市场秩序等</w:t>
      </w:r>
      <w:r>
        <w:rPr>
          <w:szCs w:val="32"/>
        </w:rPr>
        <w:t>方面取得</w:t>
      </w:r>
      <w:r>
        <w:rPr>
          <w:rFonts w:hint="eastAsia"/>
          <w:szCs w:val="32"/>
        </w:rPr>
        <w:t>了良好</w:t>
      </w:r>
      <w:r>
        <w:rPr>
          <w:szCs w:val="32"/>
        </w:rPr>
        <w:t>成效。</w:t>
      </w:r>
      <w:r>
        <w:rPr>
          <w:rFonts w:cs="Times New Roman"/>
          <w:szCs w:val="32"/>
        </w:rPr>
        <w:t>为贯彻落实党中央</w:t>
      </w:r>
      <w:r>
        <w:rPr>
          <w:rFonts w:cs="Times New Roman" w:hint="eastAsia"/>
          <w:szCs w:val="32"/>
        </w:rPr>
        <w:t>、国务院</w:t>
      </w:r>
      <w:r>
        <w:rPr>
          <w:rFonts w:cs="Times New Roman"/>
          <w:szCs w:val="32"/>
        </w:rPr>
        <w:t>关于提振消费、扩大内需</w:t>
      </w:r>
      <w:r>
        <w:rPr>
          <w:rFonts w:cs="Times New Roman" w:hint="eastAsia"/>
          <w:szCs w:val="32"/>
        </w:rPr>
        <w:t>等</w:t>
      </w:r>
      <w:r>
        <w:rPr>
          <w:rFonts w:cs="Times New Roman"/>
          <w:szCs w:val="32"/>
        </w:rPr>
        <w:t>决策部署，</w:t>
      </w:r>
      <w:r>
        <w:rPr>
          <w:rFonts w:cs="Times New Roman" w:hint="eastAsia"/>
          <w:szCs w:val="32"/>
        </w:rPr>
        <w:t>营造安全放心的消费环境，</w:t>
      </w:r>
      <w:r>
        <w:rPr>
          <w:rFonts w:cs="Times New Roman"/>
          <w:szCs w:val="32"/>
        </w:rPr>
        <w:t>有必要对</w:t>
      </w:r>
      <w:r>
        <w:rPr>
          <w:rFonts w:cs="Times New Roman" w:hint="eastAsia"/>
          <w:szCs w:val="32"/>
        </w:rPr>
        <w:t>《管理</w:t>
      </w:r>
      <w:r>
        <w:rPr>
          <w:rFonts w:cs="Times New Roman"/>
          <w:szCs w:val="32"/>
        </w:rPr>
        <w:t>规定</w:t>
      </w:r>
      <w:r>
        <w:rPr>
          <w:rFonts w:cs="Times New Roman" w:hint="eastAsia"/>
          <w:szCs w:val="32"/>
        </w:rPr>
        <w:t>》</w:t>
      </w:r>
      <w:r>
        <w:rPr>
          <w:rFonts w:cs="Times New Roman"/>
          <w:szCs w:val="32"/>
        </w:rPr>
        <w:t>进行</w:t>
      </w:r>
      <w:r>
        <w:rPr>
          <w:rFonts w:cs="Times New Roman" w:hint="eastAsia"/>
          <w:szCs w:val="32"/>
        </w:rPr>
        <w:t>修订</w:t>
      </w:r>
      <w:r>
        <w:rPr>
          <w:rFonts w:cs="Times New Roman"/>
          <w:szCs w:val="32"/>
        </w:rPr>
        <w:t>，</w:t>
      </w:r>
      <w:r>
        <w:rPr>
          <w:rFonts w:cs="Times New Roman" w:hint="eastAsia"/>
          <w:szCs w:val="32"/>
        </w:rPr>
        <w:t>进一步</w:t>
      </w:r>
      <w:r>
        <w:rPr>
          <w:rFonts w:cs="Times New Roman"/>
          <w:szCs w:val="32"/>
        </w:rPr>
        <w:t>强化</w:t>
      </w:r>
      <w:r>
        <w:rPr>
          <w:rFonts w:cs="Times New Roman" w:hint="eastAsia"/>
          <w:szCs w:val="32"/>
        </w:rPr>
        <w:t>跨部门综合</w:t>
      </w:r>
      <w:r>
        <w:rPr>
          <w:rFonts w:cs="Times New Roman"/>
          <w:szCs w:val="32"/>
        </w:rPr>
        <w:t>监管效能</w:t>
      </w:r>
      <w:r>
        <w:rPr>
          <w:rFonts w:cs="Times New Roman" w:hint="eastAsia"/>
          <w:szCs w:val="32"/>
        </w:rPr>
        <w:t>，维护</w:t>
      </w:r>
      <w:r>
        <w:rPr>
          <w:rFonts w:cs="Times New Roman"/>
          <w:szCs w:val="32"/>
        </w:rPr>
        <w:t>消费者合法权益</w:t>
      </w:r>
      <w:r>
        <w:rPr>
          <w:rFonts w:cs="Times New Roman" w:hint="eastAsia"/>
          <w:szCs w:val="32"/>
        </w:rPr>
        <w:t>。</w:t>
      </w:r>
    </w:p>
    <w:p w:rsidR="00345AA6" w:rsidRDefault="00345AA6" w:rsidP="00345AA6">
      <w:pPr>
        <w:spacing w:line="560" w:lineRule="exact"/>
        <w:ind w:firstLineChars="200" w:firstLine="640"/>
        <w:rPr>
          <w:rFonts w:eastAsia="黑体" w:cs="Times New Roman"/>
          <w:szCs w:val="32"/>
        </w:rPr>
      </w:pPr>
      <w:r>
        <w:rPr>
          <w:rFonts w:eastAsia="黑体" w:cs="Times New Roman" w:hint="eastAsia"/>
          <w:szCs w:val="32"/>
        </w:rPr>
        <w:t>二、主要内容</w:t>
      </w:r>
    </w:p>
    <w:p w:rsidR="00345AA6" w:rsidRDefault="00345AA6" w:rsidP="00345AA6">
      <w:pPr>
        <w:spacing w:line="560" w:lineRule="exact"/>
        <w:ind w:firstLineChars="200" w:firstLine="640"/>
        <w:rPr>
          <w:rFonts w:cs="Times New Roman"/>
          <w:szCs w:val="32"/>
        </w:rPr>
      </w:pPr>
      <w:r>
        <w:rPr>
          <w:rFonts w:cs="Times New Roman" w:hint="eastAsia"/>
          <w:szCs w:val="32"/>
        </w:rPr>
        <w:t>《</w:t>
      </w:r>
      <w:r>
        <w:rPr>
          <w:rFonts w:cs="Times New Roman"/>
          <w:szCs w:val="32"/>
        </w:rPr>
        <w:t>管理规定</w:t>
      </w:r>
      <w:r>
        <w:rPr>
          <w:rFonts w:hAnsi="仿宋_GB2312" w:cs="仿宋_GB2312" w:hint="eastAsia"/>
          <w:szCs w:val="32"/>
        </w:rPr>
        <w:t>（修订草案）</w:t>
      </w:r>
      <w:r>
        <w:rPr>
          <w:rFonts w:cs="Times New Roman" w:hint="eastAsia"/>
          <w:szCs w:val="32"/>
        </w:rPr>
        <w:t>》</w:t>
      </w:r>
      <w:r>
        <w:rPr>
          <w:rFonts w:cs="Times New Roman"/>
          <w:szCs w:val="32"/>
        </w:rPr>
        <w:t>共</w:t>
      </w:r>
      <w:r>
        <w:rPr>
          <w:rFonts w:cs="Times New Roman" w:hint="eastAsia"/>
          <w:szCs w:val="32"/>
        </w:rPr>
        <w:t>四十</w:t>
      </w:r>
      <w:r>
        <w:rPr>
          <w:rFonts w:cs="Times New Roman"/>
          <w:szCs w:val="32"/>
        </w:rPr>
        <w:t>条</w:t>
      </w:r>
      <w:r>
        <w:rPr>
          <w:rFonts w:cs="Times New Roman" w:hint="eastAsia"/>
          <w:szCs w:val="32"/>
        </w:rPr>
        <w:t>，</w:t>
      </w:r>
      <w:r>
        <w:rPr>
          <w:rFonts w:cs="Times New Roman"/>
          <w:szCs w:val="32"/>
        </w:rPr>
        <w:t>主要内容</w:t>
      </w:r>
      <w:r>
        <w:rPr>
          <w:rFonts w:cs="Times New Roman" w:hint="eastAsia"/>
          <w:szCs w:val="32"/>
        </w:rPr>
        <w:t>包括</w:t>
      </w:r>
      <w:r>
        <w:rPr>
          <w:rFonts w:cs="Times New Roman"/>
          <w:szCs w:val="32"/>
        </w:rPr>
        <w:t>：</w:t>
      </w:r>
      <w:bookmarkStart w:id="1" w:name="OLE_LINK12"/>
    </w:p>
    <w:p w:rsidR="00345AA6" w:rsidRDefault="00345AA6" w:rsidP="00345AA6">
      <w:pPr>
        <w:adjustRightInd w:val="0"/>
        <w:snapToGrid w:val="0"/>
        <w:spacing w:line="560" w:lineRule="exact"/>
        <w:ind w:firstLineChars="200" w:firstLine="643"/>
        <w:rPr>
          <w:rFonts w:hAnsi="仿宋_GB2312" w:cs="仿宋_GB2312" w:hint="eastAsia"/>
          <w:kern w:val="0"/>
          <w:szCs w:val="32"/>
        </w:rPr>
      </w:pPr>
      <w:r>
        <w:rPr>
          <w:rFonts w:eastAsia="楷体_GB2312" w:cs="Times New Roman" w:hint="eastAsia"/>
          <w:b/>
          <w:bCs/>
          <w:kern w:val="0"/>
          <w:szCs w:val="32"/>
        </w:rPr>
        <w:t>（一）优化适用范围，完善概念内涵。</w:t>
      </w:r>
      <w:r>
        <w:rPr>
          <w:rFonts w:hAnsi="仿宋_GB2312" w:cs="仿宋_GB2312" w:hint="eastAsia"/>
          <w:kern w:val="0"/>
          <w:szCs w:val="32"/>
        </w:rPr>
        <w:t>一是</w:t>
      </w:r>
      <w:proofErr w:type="gramStart"/>
      <w:r>
        <w:rPr>
          <w:rFonts w:hAnsi="仿宋_GB2312" w:cs="仿宋_GB2312" w:hint="eastAsia"/>
          <w:kern w:val="0"/>
          <w:szCs w:val="32"/>
        </w:rPr>
        <w:t>完善单用途卡概念</w:t>
      </w:r>
      <w:proofErr w:type="gramEnd"/>
      <w:r>
        <w:rPr>
          <w:rFonts w:hAnsi="仿宋_GB2312" w:cs="仿宋_GB2312" w:hint="eastAsia"/>
          <w:kern w:val="0"/>
          <w:szCs w:val="32"/>
        </w:rPr>
        <w:t>内涵，突出“以预收资金方式发行”和“按照分次或者计时方式兑付”的特征，进一步提升适用范围的针对性、适应性。二是为兼顾国家层面在部分领域的差异化监管要求，适用范围中同时明确“国家另有规定的，从其规定”。（第二条）</w:t>
      </w:r>
    </w:p>
    <w:p w:rsidR="00345AA6" w:rsidRDefault="00345AA6" w:rsidP="00345AA6">
      <w:pPr>
        <w:spacing w:line="560" w:lineRule="exact"/>
        <w:ind w:firstLineChars="200" w:firstLine="643"/>
        <w:rPr>
          <w:rFonts w:cs="Times New Roman" w:hint="eastAsia"/>
          <w:szCs w:val="32"/>
        </w:rPr>
      </w:pPr>
      <w:r>
        <w:rPr>
          <w:rFonts w:ascii="楷体_GB2312" w:eastAsia="楷体_GB2312" w:hAnsi="楷体_GB2312" w:cs="楷体_GB2312" w:hint="eastAsia"/>
          <w:b/>
          <w:bCs/>
          <w:szCs w:val="32"/>
        </w:rPr>
        <w:t>（二）完善管理职责，提升监管效能。</w:t>
      </w:r>
      <w:r>
        <w:rPr>
          <w:rFonts w:cs="Times New Roman" w:hint="eastAsia"/>
          <w:szCs w:val="32"/>
        </w:rPr>
        <w:t>一是明确市地方金融部门承担统筹协调职责，负责推动市行业主管部门落实行业管理责任。</w:t>
      </w:r>
      <w:r>
        <w:rPr>
          <w:rFonts w:hAnsi="仿宋_GB2312" w:cs="仿宋_GB2312" w:hint="eastAsia"/>
          <w:kern w:val="0"/>
          <w:szCs w:val="32"/>
        </w:rPr>
        <w:t>二是</w:t>
      </w:r>
      <w:r>
        <w:rPr>
          <w:rFonts w:cs="Times New Roman" w:hint="eastAsia"/>
          <w:szCs w:val="32"/>
        </w:rPr>
        <w:t>强化行业主管部门监管职责，落实风险</w:t>
      </w:r>
      <w:r>
        <w:rPr>
          <w:rFonts w:cs="Times New Roman" w:hint="eastAsia"/>
          <w:szCs w:val="32"/>
        </w:rPr>
        <w:lastRenderedPageBreak/>
        <w:t>监测评估、防范与处置等责任。三是明确市场监管、文化旅游等执法部门以及数据、公安等部门按照各自职责做好相关工作。（第五条）</w:t>
      </w:r>
    </w:p>
    <w:p w:rsidR="00345AA6" w:rsidRDefault="00345AA6" w:rsidP="00345AA6">
      <w:pPr>
        <w:spacing w:line="560" w:lineRule="exact"/>
        <w:ind w:firstLineChars="200" w:firstLine="643"/>
        <w:rPr>
          <w:rFonts w:cs="Times New Roman" w:hint="eastAsia"/>
          <w:szCs w:val="32"/>
        </w:rPr>
      </w:pPr>
      <w:r>
        <w:rPr>
          <w:rFonts w:ascii="楷体_GB2312" w:eastAsia="楷体_GB2312" w:hAnsi="楷体_GB2312" w:cs="楷体_GB2312" w:hint="eastAsia"/>
          <w:b/>
          <w:bCs/>
          <w:szCs w:val="32"/>
        </w:rPr>
        <w:t>（三）升级协同监管服务平台，赋能管理和服务。</w:t>
      </w:r>
      <w:r>
        <w:rPr>
          <w:rFonts w:cs="Times New Roman" w:hint="eastAsia"/>
          <w:szCs w:val="32"/>
        </w:rPr>
        <w:t>一是建立单用途卡协同监管服务平台，归集单用途卡发行、兑付、预收资金管理等信息。二是要求纳入备案管理的经营者按照规定将业务处理系统与协同监管服务平台进行对接。三是明确消费者可以通过单用途卡协同监管服务平台查询余额等信息。（第十条、第十三条、第二十四条、第二十八条）</w:t>
      </w:r>
    </w:p>
    <w:p w:rsidR="00345AA6" w:rsidRDefault="00345AA6" w:rsidP="00345AA6">
      <w:pPr>
        <w:spacing w:line="560" w:lineRule="exact"/>
        <w:ind w:firstLineChars="200" w:firstLine="643"/>
        <w:rPr>
          <w:rFonts w:cs="Times New Roman" w:hint="eastAsia"/>
          <w:szCs w:val="32"/>
        </w:rPr>
      </w:pPr>
      <w:r>
        <w:rPr>
          <w:rFonts w:ascii="楷体_GB2312" w:eastAsia="楷体_GB2312" w:hAnsi="楷体_GB2312" w:cs="楷体_GB2312" w:hint="eastAsia"/>
          <w:b/>
          <w:bCs/>
          <w:szCs w:val="32"/>
        </w:rPr>
        <w:t>（四）规范经营活动，强化源头治理。</w:t>
      </w:r>
      <w:r>
        <w:rPr>
          <w:rFonts w:cs="Times New Roman" w:hint="eastAsia"/>
          <w:szCs w:val="32"/>
        </w:rPr>
        <w:t>一是实行分类备案管理，经营者发卡超过一定数量、金额规模的，应当进行备案。二是明确列举禁止发卡、续卡的具体情形，从源头防范无序发卡、续卡引发的风险。三是明确经营者发卡应当根据市行业主管部门规定，合理确定单用途卡的金额、折扣率、服务期限、服务次数。四是增加</w:t>
      </w:r>
      <w:proofErr w:type="gramStart"/>
      <w:r>
        <w:rPr>
          <w:rFonts w:cs="Times New Roman" w:hint="eastAsia"/>
          <w:szCs w:val="32"/>
        </w:rPr>
        <w:t>非处罚类</w:t>
      </w:r>
      <w:proofErr w:type="gramEnd"/>
      <w:r>
        <w:rPr>
          <w:rFonts w:cs="Times New Roman" w:hint="eastAsia"/>
          <w:szCs w:val="32"/>
        </w:rPr>
        <w:t>监管措施类型，</w:t>
      </w:r>
      <w:r>
        <w:rPr>
          <w:rFonts w:cs="Times New Roman" w:hint="eastAsia"/>
          <w:kern w:val="0"/>
          <w:szCs w:val="32"/>
        </w:rPr>
        <w:t>明确</w:t>
      </w:r>
      <w:r>
        <w:rPr>
          <w:rFonts w:cs="Times New Roman" w:hint="eastAsia"/>
          <w:szCs w:val="32"/>
        </w:rPr>
        <w:t>行业主管部门可以采取责令公开说明、责令定期报告等措施。（第十一条、第十四条、第十五条、第二十八条）</w:t>
      </w:r>
    </w:p>
    <w:p w:rsidR="00345AA6" w:rsidRDefault="00345AA6" w:rsidP="00345AA6">
      <w:pPr>
        <w:spacing w:line="560" w:lineRule="exact"/>
        <w:ind w:firstLineChars="200" w:firstLine="643"/>
        <w:rPr>
          <w:rFonts w:cs="Times New Roman"/>
          <w:szCs w:val="32"/>
        </w:rPr>
      </w:pPr>
      <w:r>
        <w:rPr>
          <w:rFonts w:ascii="楷体_GB2312" w:eastAsia="楷体_GB2312" w:hAnsi="楷体_GB2312" w:cs="楷体_GB2312" w:hint="eastAsia"/>
          <w:b/>
          <w:bCs/>
          <w:szCs w:val="32"/>
        </w:rPr>
        <w:t>（五）加强预收资金管理，保障消费者合法权益。</w:t>
      </w:r>
      <w:r>
        <w:rPr>
          <w:rFonts w:cs="Times New Roman" w:hint="eastAsia"/>
          <w:szCs w:val="32"/>
        </w:rPr>
        <w:t>一是明确纳入备案管理的经营者应当选择商业银行存管、数字人民币钱包、服务信托或者公证提存等方式，加强预收资金管理和风险控制，并对这四种资金管理方式作了进一步细化规定。二是明确经营者可以采用履约保证保险、银行保函等方式冲抵相应预收资金，在保障预收资金安全前提下，适度释放经营者的资金流动性。（第十六条至第二十条）</w:t>
      </w:r>
    </w:p>
    <w:bookmarkEnd w:id="1"/>
    <w:p w:rsidR="00345AA6" w:rsidRDefault="00345AA6" w:rsidP="00345AA6">
      <w:pPr>
        <w:spacing w:line="560" w:lineRule="exact"/>
        <w:ind w:firstLineChars="200" w:firstLine="640"/>
        <w:rPr>
          <w:rFonts w:hAnsi="仿宋_GB2312" w:cs="仿宋_GB2312" w:hint="eastAsia"/>
          <w:szCs w:val="32"/>
        </w:rPr>
      </w:pPr>
      <w:r>
        <w:rPr>
          <w:rFonts w:eastAsia="黑体" w:cs="Times New Roman" w:hint="eastAsia"/>
          <w:szCs w:val="32"/>
        </w:rPr>
        <w:lastRenderedPageBreak/>
        <w:t>三、</w:t>
      </w:r>
      <w:r>
        <w:rPr>
          <w:rFonts w:ascii="黑体" w:eastAsia="黑体" w:hAnsi="黑体" w:hint="eastAsia"/>
          <w:szCs w:val="32"/>
        </w:rPr>
        <w:t>关于征求意见的重点</w:t>
      </w:r>
    </w:p>
    <w:p w:rsidR="00345AA6" w:rsidRDefault="00345AA6" w:rsidP="00345AA6">
      <w:pPr>
        <w:adjustRightInd w:val="0"/>
        <w:snapToGrid w:val="0"/>
        <w:spacing w:line="540" w:lineRule="exact"/>
        <w:ind w:firstLineChars="200" w:firstLine="640"/>
        <w:rPr>
          <w:rFonts w:hint="eastAsia"/>
        </w:rPr>
      </w:pPr>
      <w:r>
        <w:rPr>
          <w:rFonts w:hint="eastAsia"/>
        </w:rPr>
        <w:t>（一）对优化工作机制的意见和建议；</w:t>
      </w:r>
    </w:p>
    <w:p w:rsidR="00345AA6" w:rsidRDefault="00345AA6" w:rsidP="00345AA6">
      <w:pPr>
        <w:adjustRightInd w:val="0"/>
        <w:snapToGrid w:val="0"/>
        <w:spacing w:line="540" w:lineRule="exact"/>
        <w:ind w:firstLineChars="200" w:firstLine="640"/>
        <w:rPr>
          <w:rFonts w:hint="eastAsia"/>
        </w:rPr>
      </w:pPr>
      <w:r>
        <w:rPr>
          <w:rFonts w:hint="eastAsia"/>
        </w:rPr>
        <w:t>（二）对平衡监管与企业经营的意见和建议；</w:t>
      </w:r>
    </w:p>
    <w:p w:rsidR="00345AA6" w:rsidRDefault="00345AA6" w:rsidP="00345AA6">
      <w:pPr>
        <w:adjustRightInd w:val="0"/>
        <w:snapToGrid w:val="0"/>
        <w:spacing w:line="540" w:lineRule="exact"/>
        <w:ind w:firstLineChars="200" w:firstLine="640"/>
        <w:rPr>
          <w:rFonts w:hint="eastAsia"/>
        </w:rPr>
      </w:pPr>
      <w:r>
        <w:rPr>
          <w:rFonts w:hint="eastAsia"/>
        </w:rPr>
        <w:t>（三）对加强消费者权益保护的意见和建议；</w:t>
      </w:r>
    </w:p>
    <w:p w:rsidR="00345AA6" w:rsidRDefault="00345AA6" w:rsidP="00345AA6">
      <w:pPr>
        <w:adjustRightInd w:val="0"/>
        <w:snapToGrid w:val="0"/>
        <w:spacing w:line="540" w:lineRule="exact"/>
        <w:ind w:firstLineChars="200" w:firstLine="640"/>
        <w:rPr>
          <w:rFonts w:ascii="Times New Roman" w:hint="eastAsia"/>
          <w:szCs w:val="32"/>
        </w:rPr>
      </w:pPr>
      <w:r>
        <w:rPr>
          <w:rFonts w:ascii="Times New Roman" w:hint="eastAsia"/>
          <w:szCs w:val="32"/>
        </w:rPr>
        <w:t>（四）其他意见和建议。</w:t>
      </w:r>
    </w:p>
    <w:p w:rsidR="00AC7EB2" w:rsidRPr="00345AA6" w:rsidRDefault="00AC7EB2"/>
    <w:sectPr w:rsidR="00AC7EB2" w:rsidRPr="00345A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fixed"/>
    <w:sig w:usb0="00000001" w:usb1="080E0000" w:usb2="00000010" w:usb3="00000000" w:csb0="00040000" w:csb1="00000000"/>
  </w:font>
  <w:font w:name="Calibri">
    <w:charset w:val="00"/>
    <w:family w:val="swiss"/>
    <w:pitch w:val="variable"/>
    <w:sig w:usb0="E10002FF" w:usb1="4000ACFF" w:usb2="00000009" w:usb3="00000000" w:csb0="0000019F" w:csb1="00000000"/>
  </w:font>
  <w:font w:name="方正小标宋简体">
    <w:altName w:val="宋体"/>
    <w:charset w:val="86"/>
    <w:family w:val="auto"/>
    <w:pitch w:val="default"/>
    <w:sig w:usb0="A00002BF" w:usb1="184F6CFA" w:usb2="00000012" w:usb3="00000000" w:csb0="00040001" w:csb1="00000000"/>
  </w:font>
  <w:font w:name="黑体">
    <w:altName w:val="SimHei"/>
    <w:panose1 w:val="02010600030101010101"/>
    <w:charset w:val="86"/>
    <w:family w:val="auto"/>
    <w:pitch w:val="default"/>
    <w:sig w:usb0="800002BF" w:usb1="38CF7CFA" w:usb2="00000016" w:usb3="00000000" w:csb0="00040001" w:csb1="00000000"/>
  </w:font>
  <w:font w:name="楷体_GB2312">
    <w:altName w:val="方正楷体_GBK"/>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A6"/>
    <w:rsid w:val="00345AA6"/>
    <w:rsid w:val="00AC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AB2D"/>
  <w15:chartTrackingRefBased/>
  <w15:docId w15:val="{6E0635BD-30E9-4864-BF3F-53FEF2C6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45AA6"/>
    <w:pPr>
      <w:widowControl w:val="0"/>
      <w:jc w:val="both"/>
    </w:pPr>
    <w:rPr>
      <w:rFonts w:ascii="仿宋_GB2312" w:eastAsia="仿宋_GB2312" w:hAnsi="Calibri" w:cs="Calibri"/>
      <w:sz w:val="3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345AA6"/>
    <w:pPr>
      <w:spacing w:after="120"/>
    </w:pPr>
  </w:style>
  <w:style w:type="character" w:customStyle="1" w:styleId="a4">
    <w:name w:val="正文文本 字符"/>
    <w:basedOn w:val="a1"/>
    <w:link w:val="a0"/>
    <w:uiPriority w:val="99"/>
    <w:semiHidden/>
    <w:rsid w:val="00345AA6"/>
    <w:rPr>
      <w:rFonts w:ascii="仿宋_GB2312" w:eastAsia="仿宋_GB2312" w:hAnsi="Calibri" w:cs="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dc:creator>
  <cp:keywords/>
  <dc:description/>
  <cp:lastModifiedBy>jeffrey</cp:lastModifiedBy>
  <cp:revision>1</cp:revision>
  <dcterms:created xsi:type="dcterms:W3CDTF">2025-09-29T02:04:00Z</dcterms:created>
  <dcterms:modified xsi:type="dcterms:W3CDTF">2025-09-29T02:06:00Z</dcterms:modified>
</cp:coreProperties>
</file>