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13D6" w14:textId="50CE24D5" w:rsidR="00981CEE" w:rsidRPr="00D97C51" w:rsidRDefault="00743744" w:rsidP="00D55209">
      <w:pPr>
        <w:ind w:firstLineChars="0" w:firstLine="0"/>
        <w:jc w:val="center"/>
        <w:rPr>
          <w:rFonts w:asciiTheme="minorEastAsia" w:hAnsiTheme="minorEastAsia"/>
          <w:b/>
          <w:bCs/>
        </w:rPr>
      </w:pPr>
      <w:r w:rsidRPr="00D97C51">
        <w:rPr>
          <w:rFonts w:asciiTheme="minorEastAsia" w:hAnsiTheme="minorEastAsia" w:hint="eastAsia"/>
          <w:b/>
          <w:bCs/>
        </w:rPr>
        <w:t>《国际会计师职业道德》课程简介</w:t>
      </w:r>
    </w:p>
    <w:p w14:paraId="6FB7C932" w14:textId="77777777" w:rsidR="001F5E9E" w:rsidRPr="00D97C51" w:rsidRDefault="001F5E9E" w:rsidP="001F5E9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hint="eastAsia"/>
          <w:b/>
          <w:bCs/>
          <w:sz w:val="22"/>
          <w:szCs w:val="22"/>
        </w:rPr>
        <w:t>课程概览</w:t>
      </w:r>
    </w:p>
    <w:p w14:paraId="78AE6B16" w14:textId="77777777" w:rsidR="001F5E9E" w:rsidRPr="00D97C51" w:rsidRDefault="001F5E9E" w:rsidP="001F5E9E">
      <w:pPr>
        <w:ind w:firstLine="440"/>
        <w:rPr>
          <w:rFonts w:asciiTheme="minorEastAsia" w:hAnsiTheme="minorEastAsia"/>
          <w:sz w:val="22"/>
          <w:szCs w:val="22"/>
        </w:rPr>
      </w:pPr>
      <w:r w:rsidRPr="00D97C51">
        <w:rPr>
          <w:rFonts w:asciiTheme="minorEastAsia" w:hAnsiTheme="minorEastAsia" w:hint="eastAsia"/>
          <w:sz w:val="22"/>
          <w:szCs w:val="22"/>
        </w:rPr>
        <w:t>课程形式：在线录播</w:t>
      </w:r>
    </w:p>
    <w:p w14:paraId="564F28CC" w14:textId="26709C18" w:rsidR="001F5E9E" w:rsidRPr="00D97C51" w:rsidRDefault="001F5E9E" w:rsidP="001F5E9E">
      <w:pPr>
        <w:ind w:firstLine="440"/>
        <w:rPr>
          <w:rFonts w:asciiTheme="minorEastAsia" w:hAnsiTheme="minorEastAsia"/>
          <w:sz w:val="22"/>
          <w:szCs w:val="22"/>
        </w:rPr>
      </w:pPr>
      <w:r w:rsidRPr="00D97C51">
        <w:rPr>
          <w:rFonts w:asciiTheme="minorEastAsia" w:hAnsiTheme="minorEastAsia" w:hint="eastAsia"/>
          <w:sz w:val="22"/>
          <w:szCs w:val="22"/>
        </w:rPr>
        <w:t>报名费用：</w:t>
      </w:r>
      <w:r w:rsidR="00066845" w:rsidRPr="00D97C51">
        <w:rPr>
          <w:rFonts w:asciiTheme="minorEastAsia" w:hAnsiTheme="minorEastAsia" w:hint="eastAsia"/>
          <w:sz w:val="22"/>
          <w:szCs w:val="22"/>
        </w:rPr>
        <w:t>上海市</w:t>
      </w:r>
      <w:r w:rsidRPr="00D97C51">
        <w:rPr>
          <w:rFonts w:asciiTheme="minorEastAsia" w:hAnsiTheme="minorEastAsia" w:hint="eastAsia"/>
          <w:sz w:val="22"/>
          <w:szCs w:val="22"/>
        </w:rPr>
        <w:t>注册会计师协会个人在册会员免费</w:t>
      </w:r>
    </w:p>
    <w:p w14:paraId="35DCF30D" w14:textId="37616F13" w:rsidR="001F5E9E" w:rsidRPr="00D97C51" w:rsidRDefault="001F5E9E" w:rsidP="001F5E9E">
      <w:pPr>
        <w:ind w:firstLine="440"/>
        <w:rPr>
          <w:rFonts w:asciiTheme="minorEastAsia" w:hAnsiTheme="minorEastAsia"/>
          <w:sz w:val="22"/>
          <w:szCs w:val="22"/>
        </w:rPr>
      </w:pPr>
      <w:r w:rsidRPr="00D97C51">
        <w:rPr>
          <w:rFonts w:asciiTheme="minorEastAsia" w:hAnsiTheme="minorEastAsia" w:hint="eastAsia"/>
          <w:sz w:val="22"/>
          <w:szCs w:val="22"/>
        </w:rPr>
        <w:t>学习时长：</w:t>
      </w:r>
      <w:r w:rsidRPr="00D97C51">
        <w:rPr>
          <w:rFonts w:asciiTheme="minorEastAsia" w:hAnsiTheme="minorEastAsia"/>
          <w:sz w:val="22"/>
          <w:szCs w:val="22"/>
        </w:rPr>
        <w:t>4</w:t>
      </w:r>
      <w:r w:rsidRPr="00D97C51">
        <w:rPr>
          <w:rFonts w:asciiTheme="minorEastAsia" w:hAnsiTheme="minorEastAsia" w:hint="eastAsia"/>
          <w:sz w:val="22"/>
          <w:szCs w:val="22"/>
        </w:rPr>
        <w:t>小时</w:t>
      </w:r>
    </w:p>
    <w:p w14:paraId="7865047F" w14:textId="0AB07FC9" w:rsidR="001F5E9E" w:rsidRPr="00D97C51" w:rsidRDefault="001F5E9E" w:rsidP="00E8052D">
      <w:pPr>
        <w:ind w:firstLine="440"/>
        <w:rPr>
          <w:rFonts w:asciiTheme="minorEastAsia" w:hAnsiTheme="minorEastAsia"/>
          <w:sz w:val="22"/>
          <w:szCs w:val="22"/>
        </w:rPr>
      </w:pPr>
      <w:r w:rsidRPr="00D97C51">
        <w:rPr>
          <w:rFonts w:asciiTheme="minorEastAsia" w:hAnsiTheme="minorEastAsia" w:hint="eastAsia"/>
          <w:sz w:val="22"/>
          <w:szCs w:val="22"/>
        </w:rPr>
        <w:t>学习说明：报名成功后工作人员会在3-5个工作日内发送开课提醒至</w:t>
      </w:r>
      <w:r w:rsidR="007820E0" w:rsidRPr="00D97C51">
        <w:rPr>
          <w:rFonts w:asciiTheme="minorEastAsia" w:hAnsiTheme="minorEastAsia" w:hint="eastAsia"/>
          <w:sz w:val="22"/>
          <w:szCs w:val="22"/>
        </w:rPr>
        <w:t>报名会员</w:t>
      </w:r>
      <w:r w:rsidRPr="00D97C51">
        <w:rPr>
          <w:rFonts w:asciiTheme="minorEastAsia" w:hAnsiTheme="minorEastAsia" w:hint="eastAsia"/>
          <w:sz w:val="22"/>
          <w:szCs w:val="22"/>
        </w:rPr>
        <w:t>预留邮箱中，如未</w:t>
      </w:r>
      <w:proofErr w:type="gramStart"/>
      <w:r w:rsidRPr="00D97C51">
        <w:rPr>
          <w:rFonts w:asciiTheme="minorEastAsia" w:hAnsiTheme="minorEastAsia" w:hint="eastAsia"/>
          <w:sz w:val="22"/>
          <w:szCs w:val="22"/>
        </w:rPr>
        <w:t>收到请</w:t>
      </w:r>
      <w:proofErr w:type="gramEnd"/>
      <w:r w:rsidRPr="00D97C51">
        <w:rPr>
          <w:rFonts w:asciiTheme="minorEastAsia" w:hAnsiTheme="minorEastAsia" w:hint="eastAsia"/>
          <w:sz w:val="22"/>
          <w:szCs w:val="22"/>
        </w:rPr>
        <w:t>及时致电4009990590确认。</w:t>
      </w:r>
    </w:p>
    <w:p w14:paraId="43DC2658" w14:textId="77777777" w:rsidR="001F5E9E" w:rsidRPr="00D97C51" w:rsidRDefault="001F5E9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</w:p>
    <w:p w14:paraId="6F84A90B" w14:textId="43B9A42D" w:rsidR="00CA2BB2" w:rsidRPr="00D97C51" w:rsidRDefault="00981CE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hint="eastAsia"/>
          <w:b/>
          <w:bCs/>
          <w:sz w:val="22"/>
          <w:szCs w:val="22"/>
        </w:rPr>
        <w:t>课程简介</w:t>
      </w:r>
    </w:p>
    <w:p w14:paraId="26352522" w14:textId="77777777" w:rsidR="00743744" w:rsidRPr="00D97C51" w:rsidRDefault="00743744" w:rsidP="00743744">
      <w:pPr>
        <w:ind w:firstLineChars="0" w:firstLine="0"/>
        <w:rPr>
          <w:rFonts w:asciiTheme="minorEastAsia" w:hAnsiTheme="minorEastAsia" w:cs="Arial"/>
          <w:color w:val="333333"/>
          <w:sz w:val="22"/>
          <w:szCs w:val="22"/>
          <w:shd w:val="clear" w:color="auto" w:fill="FFFFFF"/>
        </w:rPr>
      </w:pPr>
      <w:bookmarkStart w:id="0" w:name="_Hlk113289109"/>
      <w:r w:rsidRPr="00D97C51">
        <w:rPr>
          <w:rFonts w:asciiTheme="minorEastAsia" w:hAnsiTheme="minorEastAsia" w:cs="Arial" w:hint="eastAsia"/>
          <w:color w:val="333333"/>
          <w:sz w:val="22"/>
          <w:szCs w:val="22"/>
          <w:shd w:val="clear" w:color="auto" w:fill="FFFFFF"/>
        </w:rPr>
        <w:t>从长生生物</w:t>
      </w:r>
      <w:proofErr w:type="gramStart"/>
      <w:r w:rsidRPr="00D97C51">
        <w:rPr>
          <w:rFonts w:asciiTheme="minorEastAsia" w:hAnsiTheme="minorEastAsia" w:cs="Arial" w:hint="eastAsia"/>
          <w:color w:val="333333"/>
          <w:sz w:val="22"/>
          <w:szCs w:val="22"/>
          <w:shd w:val="clear" w:color="auto" w:fill="FFFFFF"/>
        </w:rPr>
        <w:t>到索菱股份</w:t>
      </w:r>
      <w:proofErr w:type="gramEnd"/>
      <w:r w:rsidRPr="00D97C51">
        <w:rPr>
          <w:rFonts w:asciiTheme="minorEastAsia" w:hAnsiTheme="minorEastAsia" w:cs="Arial" w:hint="eastAsia"/>
          <w:color w:val="333333"/>
          <w:sz w:val="22"/>
          <w:szCs w:val="22"/>
          <w:shd w:val="clear" w:color="auto" w:fill="FFFFFF"/>
        </w:rPr>
        <w:t>，再到康美药业，从世界通讯到安然公司，再</w:t>
      </w:r>
      <w:proofErr w:type="gramStart"/>
      <w:r w:rsidRPr="00D97C51">
        <w:rPr>
          <w:rFonts w:asciiTheme="minorEastAsia" w:hAnsiTheme="minorEastAsia" w:cs="Arial" w:hint="eastAsia"/>
          <w:color w:val="333333"/>
          <w:sz w:val="22"/>
          <w:szCs w:val="22"/>
          <w:shd w:val="clear" w:color="auto" w:fill="FFFFFF"/>
        </w:rPr>
        <w:t>到瑞幸咖啡</w:t>
      </w:r>
      <w:proofErr w:type="gramEnd"/>
      <w:r w:rsidRPr="00D97C51">
        <w:rPr>
          <w:rFonts w:asciiTheme="minorEastAsia" w:hAnsiTheme="minorEastAsia" w:cs="Arial" w:hint="eastAsia"/>
          <w:color w:val="333333"/>
          <w:sz w:val="22"/>
          <w:szCs w:val="22"/>
          <w:shd w:val="clear" w:color="auto" w:fill="FFFFFF"/>
        </w:rPr>
        <w:t>，这些</w:t>
      </w:r>
      <w:r w:rsidRPr="00D97C51">
        <w:rPr>
          <w:rFonts w:asciiTheme="minorEastAsia" w:hAnsiTheme="minorEastAsia" w:cs="Arial"/>
          <w:color w:val="333333"/>
          <w:sz w:val="22"/>
          <w:szCs w:val="22"/>
          <w:shd w:val="clear" w:color="auto" w:fill="FFFFFF"/>
        </w:rPr>
        <w:t>震惊国内</w:t>
      </w:r>
      <w:r w:rsidRPr="00D97C51">
        <w:rPr>
          <w:rFonts w:asciiTheme="minorEastAsia" w:hAnsiTheme="minorEastAsia" w:cs="Arial" w:hint="eastAsia"/>
          <w:color w:val="333333"/>
          <w:sz w:val="22"/>
          <w:szCs w:val="22"/>
          <w:shd w:val="clear" w:color="auto" w:fill="FFFFFF"/>
        </w:rPr>
        <w:t>外</w:t>
      </w:r>
      <w:r w:rsidRPr="00D97C51">
        <w:rPr>
          <w:rFonts w:asciiTheme="minorEastAsia" w:hAnsiTheme="minorEastAsia" w:cs="Arial"/>
          <w:color w:val="333333"/>
          <w:sz w:val="22"/>
          <w:szCs w:val="22"/>
          <w:shd w:val="clear" w:color="auto" w:fill="FFFFFF"/>
        </w:rPr>
        <w:t>资本市场的财务丑闻，一次次</w:t>
      </w:r>
      <w:proofErr w:type="gramStart"/>
      <w:r w:rsidRPr="00D97C51">
        <w:rPr>
          <w:rFonts w:asciiTheme="minorEastAsia" w:hAnsiTheme="minorEastAsia" w:cs="Arial"/>
          <w:color w:val="333333"/>
          <w:sz w:val="22"/>
          <w:szCs w:val="22"/>
          <w:shd w:val="clear" w:color="auto" w:fill="FFFFFF"/>
        </w:rPr>
        <w:t>拷问着</w:t>
      </w:r>
      <w:proofErr w:type="gramEnd"/>
      <w:r w:rsidRPr="00D97C51">
        <w:rPr>
          <w:rFonts w:asciiTheme="minorEastAsia" w:hAnsiTheme="minorEastAsia" w:cs="Arial"/>
          <w:color w:val="333333"/>
          <w:sz w:val="22"/>
          <w:szCs w:val="22"/>
          <w:shd w:val="clear" w:color="auto" w:fill="FFFFFF"/>
        </w:rPr>
        <w:t>会计职业道德的脆弱性，也在提醒着会计职业道德教育的重要性。</w:t>
      </w:r>
    </w:p>
    <w:p w14:paraId="5FDE600B" w14:textId="1A0F71B3" w:rsidR="00743744" w:rsidRPr="00D97C51" w:rsidRDefault="00743744" w:rsidP="00743744">
      <w:pPr>
        <w:ind w:firstLineChars="0" w:firstLine="0"/>
        <w:rPr>
          <w:rFonts w:asciiTheme="minorEastAsia" w:hAnsiTheme="minorEastAsia" w:cs="Arial"/>
          <w:sz w:val="22"/>
          <w:szCs w:val="22"/>
        </w:rPr>
      </w:pPr>
      <w:r w:rsidRPr="00D97C51">
        <w:rPr>
          <w:rFonts w:asciiTheme="minorEastAsia" w:hAnsiTheme="minorEastAsia" w:cs="Arial" w:hint="eastAsia"/>
          <w:sz w:val="22"/>
          <w:szCs w:val="22"/>
        </w:rPr>
        <w:t>本课程依托于</w:t>
      </w:r>
      <w:r w:rsidRPr="00D97C51">
        <w:rPr>
          <w:rFonts w:asciiTheme="minorEastAsia" w:hAnsiTheme="minorEastAsia" w:cs="Arial"/>
          <w:sz w:val="22"/>
          <w:szCs w:val="22"/>
        </w:rPr>
        <w:t>公共会计师协会</w:t>
      </w:r>
      <w:r w:rsidR="007820E0" w:rsidRPr="00D97C51">
        <w:rPr>
          <w:rFonts w:asciiTheme="minorEastAsia" w:hAnsiTheme="minorEastAsia" w:cs="Arial" w:hint="eastAsia"/>
          <w:sz w:val="22"/>
          <w:szCs w:val="22"/>
        </w:rPr>
        <w:t>集团</w:t>
      </w:r>
      <w:r w:rsidRPr="00D97C51">
        <w:rPr>
          <w:rFonts w:asciiTheme="minorEastAsia" w:hAnsiTheme="minorEastAsia" w:cs="Arial" w:hint="eastAsia"/>
          <w:sz w:val="22"/>
          <w:szCs w:val="22"/>
        </w:rPr>
        <w:t>I</w:t>
      </w:r>
      <w:r w:rsidRPr="00D97C51">
        <w:rPr>
          <w:rFonts w:asciiTheme="minorEastAsia" w:hAnsiTheme="minorEastAsia" w:cs="Arial"/>
          <w:sz w:val="22"/>
          <w:szCs w:val="22"/>
        </w:rPr>
        <w:t>PA</w:t>
      </w:r>
      <w:r w:rsidR="007820E0" w:rsidRPr="00D97C51">
        <w:rPr>
          <w:rFonts w:asciiTheme="minorEastAsia" w:hAnsiTheme="minorEastAsia" w:cs="Arial"/>
          <w:sz w:val="22"/>
          <w:szCs w:val="22"/>
        </w:rPr>
        <w:t xml:space="preserve"> G</w:t>
      </w:r>
      <w:r w:rsidR="007820E0" w:rsidRPr="00D97C51">
        <w:rPr>
          <w:rFonts w:asciiTheme="minorEastAsia" w:hAnsiTheme="minorEastAsia" w:cs="Arial" w:hint="eastAsia"/>
          <w:sz w:val="22"/>
          <w:szCs w:val="22"/>
        </w:rPr>
        <w:t>roup</w:t>
      </w:r>
      <w:r w:rsidRPr="00D97C51">
        <w:rPr>
          <w:rFonts w:asciiTheme="minorEastAsia" w:hAnsiTheme="minorEastAsia" w:cs="Arial" w:hint="eastAsia"/>
          <w:sz w:val="22"/>
          <w:szCs w:val="22"/>
        </w:rPr>
        <w:t>的课程</w:t>
      </w:r>
      <w:r w:rsidRPr="00D97C51">
        <w:rPr>
          <w:rFonts w:asciiTheme="minorEastAsia" w:hAnsiTheme="minorEastAsia" w:cs="Arial"/>
          <w:sz w:val="22"/>
          <w:szCs w:val="22"/>
        </w:rPr>
        <w:t>《国际会计师职业道德守则》</w:t>
      </w:r>
      <w:r w:rsidRPr="00D97C51">
        <w:rPr>
          <w:rFonts w:asciiTheme="minorEastAsia" w:hAnsiTheme="minorEastAsia" w:cs="Arial" w:hint="eastAsia"/>
          <w:sz w:val="22"/>
          <w:szCs w:val="22"/>
        </w:rPr>
        <w:t>相关</w:t>
      </w:r>
      <w:r w:rsidRPr="00D97C51">
        <w:rPr>
          <w:rFonts w:asciiTheme="minorEastAsia" w:hAnsiTheme="minorEastAsia" w:cs="Arial"/>
          <w:sz w:val="22"/>
          <w:szCs w:val="22"/>
        </w:rPr>
        <w:t>学习资料，</w:t>
      </w:r>
      <w:r w:rsidRPr="00D97C51">
        <w:rPr>
          <w:rFonts w:asciiTheme="minorEastAsia" w:hAnsiTheme="minorEastAsia" w:cs="Arial" w:hint="eastAsia"/>
          <w:sz w:val="22"/>
          <w:szCs w:val="22"/>
        </w:rPr>
        <w:t>围绕</w:t>
      </w:r>
      <w:r w:rsidRPr="00D97C51">
        <w:rPr>
          <w:rFonts w:asciiTheme="minorEastAsia" w:hAnsiTheme="minorEastAsia" w:cs="Arial"/>
          <w:sz w:val="22"/>
          <w:szCs w:val="22"/>
        </w:rPr>
        <w:t>会计师职业道德原则、概念框架、规则应用、治理防范逻辑主线</w:t>
      </w:r>
      <w:r w:rsidRPr="00D97C51">
        <w:rPr>
          <w:rFonts w:asciiTheme="minorEastAsia" w:hAnsiTheme="minorEastAsia" w:cs="Arial" w:hint="eastAsia"/>
          <w:sz w:val="22"/>
          <w:szCs w:val="22"/>
        </w:rPr>
        <w:t>展开</w:t>
      </w:r>
      <w:r w:rsidRPr="00D97C51">
        <w:rPr>
          <w:rFonts w:asciiTheme="minorEastAsia" w:hAnsiTheme="minorEastAsia" w:cs="Arial"/>
          <w:sz w:val="22"/>
          <w:szCs w:val="22"/>
        </w:rPr>
        <w:t>，强调基本原则和概念框架</w:t>
      </w:r>
      <w:r w:rsidRPr="00D97C51">
        <w:rPr>
          <w:rFonts w:asciiTheme="minorEastAsia" w:hAnsiTheme="minorEastAsia" w:cs="Arial" w:hint="eastAsia"/>
          <w:sz w:val="22"/>
          <w:szCs w:val="22"/>
        </w:rPr>
        <w:t>的</w:t>
      </w:r>
      <w:r w:rsidRPr="00D97C51">
        <w:rPr>
          <w:rFonts w:asciiTheme="minorEastAsia" w:hAnsiTheme="minorEastAsia" w:cs="Arial"/>
          <w:sz w:val="22"/>
          <w:szCs w:val="22"/>
        </w:rPr>
        <w:t>高度统一，</w:t>
      </w:r>
      <w:r w:rsidRPr="00D97C51">
        <w:rPr>
          <w:rFonts w:asciiTheme="minorEastAsia" w:hAnsiTheme="minorEastAsia" w:cs="Arial" w:hint="eastAsia"/>
          <w:sz w:val="22"/>
          <w:szCs w:val="22"/>
        </w:rPr>
        <w:t>旨在</w:t>
      </w:r>
      <w:r w:rsidRPr="00D97C51">
        <w:rPr>
          <w:rFonts w:asciiTheme="minorEastAsia" w:hAnsiTheme="minorEastAsia" w:cs="Arial"/>
          <w:sz w:val="22"/>
          <w:szCs w:val="22"/>
        </w:rPr>
        <w:t>全面提升会计从业人员的伦理敏感性和职业道德决策能力。本课程将</w:t>
      </w:r>
      <w:r w:rsidRPr="00D97C51">
        <w:rPr>
          <w:rFonts w:asciiTheme="minorEastAsia" w:hAnsiTheme="minorEastAsia" w:cs="Arial" w:hint="eastAsia"/>
          <w:sz w:val="22"/>
          <w:szCs w:val="22"/>
        </w:rPr>
        <w:t>通过</w:t>
      </w:r>
      <w:r w:rsidRPr="00D97C51">
        <w:rPr>
          <w:rFonts w:asciiTheme="minorEastAsia" w:hAnsiTheme="minorEastAsia" w:cs="Arial"/>
          <w:sz w:val="22"/>
          <w:szCs w:val="22"/>
        </w:rPr>
        <w:t>案例教学</w:t>
      </w:r>
      <w:r w:rsidRPr="00D97C51">
        <w:rPr>
          <w:rFonts w:asciiTheme="minorEastAsia" w:hAnsiTheme="minorEastAsia" w:cs="Arial" w:hint="eastAsia"/>
          <w:sz w:val="22"/>
          <w:szCs w:val="22"/>
        </w:rPr>
        <w:t>，以</w:t>
      </w:r>
      <w:r w:rsidRPr="00D97C51">
        <w:rPr>
          <w:rFonts w:asciiTheme="minorEastAsia" w:hAnsiTheme="minorEastAsia" w:cs="Arial"/>
          <w:sz w:val="22"/>
          <w:szCs w:val="22"/>
        </w:rPr>
        <w:t>生动鲜活</w:t>
      </w:r>
      <w:r w:rsidRPr="00D97C51">
        <w:rPr>
          <w:rFonts w:asciiTheme="minorEastAsia" w:hAnsiTheme="minorEastAsia" w:cs="Arial" w:hint="eastAsia"/>
          <w:sz w:val="22"/>
          <w:szCs w:val="22"/>
        </w:rPr>
        <w:t>的方式</w:t>
      </w:r>
      <w:r w:rsidRPr="00D97C51">
        <w:rPr>
          <w:rFonts w:asciiTheme="minorEastAsia" w:hAnsiTheme="minorEastAsia" w:cs="Arial"/>
          <w:sz w:val="22"/>
          <w:szCs w:val="22"/>
        </w:rPr>
        <w:t>启发大家思考，帮助大家更</w:t>
      </w:r>
      <w:r w:rsidRPr="00D97C51">
        <w:rPr>
          <w:rFonts w:asciiTheme="minorEastAsia" w:hAnsiTheme="minorEastAsia" w:cs="Arial" w:hint="eastAsia"/>
          <w:sz w:val="22"/>
          <w:szCs w:val="22"/>
        </w:rPr>
        <w:t>深入</w:t>
      </w:r>
      <w:r w:rsidRPr="00D97C51">
        <w:rPr>
          <w:rFonts w:asciiTheme="minorEastAsia" w:hAnsiTheme="minorEastAsia" w:cs="Arial"/>
          <w:sz w:val="22"/>
          <w:szCs w:val="22"/>
        </w:rPr>
        <w:t>理解准则的具体应用情形。</w:t>
      </w:r>
    </w:p>
    <w:p w14:paraId="5120BF2B" w14:textId="40B31AEF" w:rsidR="00981CEE" w:rsidRPr="00D97C51" w:rsidRDefault="00981CEE" w:rsidP="00981CEE">
      <w:pPr>
        <w:ind w:left="420" w:firstLineChars="0" w:firstLine="0"/>
        <w:rPr>
          <w:rFonts w:asciiTheme="minorEastAsia" w:hAnsiTheme="minorEastAsia" w:cs="Arial"/>
          <w:b/>
          <w:bCs/>
          <w:sz w:val="22"/>
          <w:szCs w:val="22"/>
        </w:rPr>
      </w:pPr>
      <w:r w:rsidRPr="00D97C51">
        <w:rPr>
          <w:rFonts w:asciiTheme="minorEastAsia" w:hAnsiTheme="minorEastAsia" w:cs="Arial" w:hint="eastAsia"/>
          <w:b/>
          <w:bCs/>
          <w:sz w:val="22"/>
          <w:szCs w:val="22"/>
        </w:rPr>
        <w:t>讲师介绍</w:t>
      </w:r>
    </w:p>
    <w:bookmarkEnd w:id="0"/>
    <w:p w14:paraId="2874DC53" w14:textId="0580EA9E" w:rsidR="00743744" w:rsidRPr="00D97C51" w:rsidRDefault="00981CEE">
      <w:pPr>
        <w:ind w:firstLine="440"/>
        <w:rPr>
          <w:rFonts w:asciiTheme="minorEastAsia" w:hAnsiTheme="minorEastAsia"/>
          <w:sz w:val="22"/>
          <w:szCs w:val="22"/>
        </w:rPr>
      </w:pPr>
      <w:r w:rsidRPr="00D97C51">
        <w:rPr>
          <w:rFonts w:asciiTheme="minorEastAsia" w:hAnsiTheme="minorEastAsia" w:hint="eastAsia"/>
          <w:sz w:val="22"/>
          <w:szCs w:val="22"/>
        </w:rPr>
        <w:t>季周博士，上海国家会计学院数字服务研究中心学术主任、CFO领导力研究中心执行主任。美国圣路易斯华盛顿大学奥林商学院，美国亚利桑那州立大学</w:t>
      </w:r>
      <w:proofErr w:type="gramStart"/>
      <w:r w:rsidRPr="00D97C51">
        <w:rPr>
          <w:rFonts w:asciiTheme="minorEastAsia" w:hAnsiTheme="minorEastAsia" w:hint="eastAsia"/>
          <w:sz w:val="22"/>
          <w:szCs w:val="22"/>
        </w:rPr>
        <w:t>凯</w:t>
      </w:r>
      <w:proofErr w:type="gramEnd"/>
      <w:r w:rsidRPr="00D97C51">
        <w:rPr>
          <w:rFonts w:asciiTheme="minorEastAsia" w:hAnsiTheme="minorEastAsia" w:hint="eastAsia"/>
          <w:sz w:val="22"/>
          <w:szCs w:val="22"/>
        </w:rPr>
        <w:t>瑞商学院访问学者。长期从事管理会计、绩效管理和会计职业道德等领域教学和研究工作；在SSCI等国内外学术期刊发表多篇研究论文，承担多项省部级和企业委托专项课题。</w:t>
      </w:r>
    </w:p>
    <w:p w14:paraId="3B9E3093" w14:textId="64E1A730" w:rsidR="00FA0C65" w:rsidRPr="00D97C51" w:rsidRDefault="00FA0C65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hint="eastAsia"/>
          <w:b/>
          <w:bCs/>
          <w:sz w:val="22"/>
          <w:szCs w:val="22"/>
        </w:rPr>
        <w:t>课程大纲</w:t>
      </w:r>
    </w:p>
    <w:p w14:paraId="33A25D8E" w14:textId="1CAEB09C" w:rsidR="004D58D3" w:rsidRPr="00D97C51" w:rsidRDefault="0011075B" w:rsidP="00B01298">
      <w:pPr>
        <w:pStyle w:val="a7"/>
        <w:numPr>
          <w:ilvl w:val="0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 xml:space="preserve"> </w:t>
      </w:r>
      <w:proofErr w:type="spellStart"/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</w:rPr>
        <w:t>课程</w:t>
      </w:r>
      <w:proofErr w:type="spellEnd"/>
      <w:r w:rsidR="00967550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导论</w:t>
      </w:r>
    </w:p>
    <w:p w14:paraId="4BF110E8" w14:textId="193D32E0" w:rsidR="00967550" w:rsidRPr="00D97C51" w:rsidRDefault="00967550" w:rsidP="00B01298">
      <w:pPr>
        <w:pStyle w:val="a7"/>
        <w:numPr>
          <w:ilvl w:val="1"/>
          <w:numId w:val="16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课程对象</w:t>
      </w:r>
    </w:p>
    <w:p w14:paraId="477A9B0B" w14:textId="2953494F" w:rsidR="00967550" w:rsidRPr="00D97C51" w:rsidRDefault="0066407B" w:rsidP="008D6787">
      <w:pPr>
        <w:pStyle w:val="a7"/>
        <w:numPr>
          <w:ilvl w:val="1"/>
          <w:numId w:val="16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课程结构</w:t>
      </w:r>
    </w:p>
    <w:p w14:paraId="7EF0D570" w14:textId="77777777" w:rsidR="008D6787" w:rsidRPr="00D97C51" w:rsidRDefault="008D6787" w:rsidP="008D6787">
      <w:pPr>
        <w:pStyle w:val="a7"/>
        <w:tabs>
          <w:tab w:val="left" w:pos="8647"/>
        </w:tabs>
        <w:snapToGrid w:val="0"/>
        <w:ind w:left="792" w:firstLineChars="0" w:firstLine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</w:p>
    <w:p w14:paraId="76EBEBFF" w14:textId="001AD892" w:rsidR="004D58D3" w:rsidRPr="00D97C51" w:rsidRDefault="003F104A" w:rsidP="00B01298">
      <w:pPr>
        <w:pStyle w:val="a7"/>
        <w:numPr>
          <w:ilvl w:val="0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 xml:space="preserve"> 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IFAC和</w:t>
      </w:r>
      <w:r w:rsidR="00A77A5D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澳大利亚执业会计师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（0</w:t>
      </w:r>
      <w:r w:rsidR="004D58D3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.</w:t>
      </w:r>
      <w:r w:rsidR="00ED7DAC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3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小时）</w:t>
      </w:r>
    </w:p>
    <w:p w14:paraId="6E7CCB8E" w14:textId="77777777" w:rsidR="00B01298" w:rsidRPr="00D97C51" w:rsidRDefault="00B01298" w:rsidP="00C5545C">
      <w:pPr>
        <w:pStyle w:val="a7"/>
        <w:tabs>
          <w:tab w:val="left" w:pos="8647"/>
        </w:tabs>
        <w:snapToGrid w:val="0"/>
        <w:ind w:left="360" w:firstLineChars="0" w:firstLine="0"/>
        <w:rPr>
          <w:rFonts w:asciiTheme="minorEastAsia" w:eastAsiaTheme="minorEastAsia" w:hAnsiTheme="minorEastAsia" w:cs="宋体"/>
          <w:vanish/>
          <w:color w:val="333333"/>
          <w:sz w:val="22"/>
          <w:szCs w:val="22"/>
          <w:lang w:eastAsia="zh-CN"/>
        </w:rPr>
      </w:pPr>
    </w:p>
    <w:p w14:paraId="53C9868E" w14:textId="0347A475" w:rsidR="004D58D3" w:rsidRPr="00D97C51" w:rsidRDefault="004D58D3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国际会计师联合会（IFAC）</w:t>
      </w:r>
      <w:r w:rsidR="0011075B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 xml:space="preserve"> </w:t>
      </w:r>
    </w:p>
    <w:p w14:paraId="753BC53B" w14:textId="24642012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</w:rPr>
      </w:pPr>
      <w:proofErr w:type="spellStart"/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</w:rPr>
        <w:t>IFAC简介</w:t>
      </w:r>
      <w:proofErr w:type="spellEnd"/>
    </w:p>
    <w:p w14:paraId="110A6BDC" w14:textId="7F771DB4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IFAC的会计师职业道德准则</w:t>
      </w:r>
    </w:p>
    <w:p w14:paraId="57D8A179" w14:textId="1529AEBF" w:rsidR="004D58D3" w:rsidRPr="00D97C51" w:rsidRDefault="004D58D3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lastRenderedPageBreak/>
        <w:t>澳大利亚职业会计师管理体制与道德准则</w:t>
      </w:r>
    </w:p>
    <w:p w14:paraId="5D30F677" w14:textId="77777777" w:rsidR="005F518D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澳大利亚会计师行业管理体制</w:t>
      </w:r>
    </w:p>
    <w:p w14:paraId="001EA2E4" w14:textId="77777777" w:rsidR="005F518D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澳大利亚的职业会计师团体</w:t>
      </w:r>
    </w:p>
    <w:p w14:paraId="0B6A1E0C" w14:textId="45704BF4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澳大利亚职业会计师道德守则</w:t>
      </w:r>
    </w:p>
    <w:p w14:paraId="425F74B7" w14:textId="77777777" w:rsidR="008D6787" w:rsidRPr="00D97C51" w:rsidRDefault="008D6787" w:rsidP="008D6787">
      <w:pPr>
        <w:pStyle w:val="a7"/>
        <w:tabs>
          <w:tab w:val="left" w:pos="8647"/>
        </w:tabs>
        <w:snapToGrid w:val="0"/>
        <w:ind w:left="1200" w:firstLineChars="0" w:firstLine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</w:p>
    <w:p w14:paraId="010F73A0" w14:textId="290E404A" w:rsidR="004D58D3" w:rsidRPr="00D97C51" w:rsidRDefault="003F104A" w:rsidP="005F518D">
      <w:pPr>
        <w:pStyle w:val="a7"/>
        <w:numPr>
          <w:ilvl w:val="0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 xml:space="preserve"> 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会计职业道德基本原则和概念框架（</w:t>
      </w:r>
      <w:r w:rsidR="00A77A5D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1</w:t>
      </w:r>
      <w:r w:rsidR="004D58D3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小时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）</w:t>
      </w:r>
    </w:p>
    <w:p w14:paraId="5ED308FD" w14:textId="77777777" w:rsidR="005F518D" w:rsidRPr="00D97C51" w:rsidRDefault="005F518D" w:rsidP="00C5545C">
      <w:pPr>
        <w:pStyle w:val="a7"/>
        <w:tabs>
          <w:tab w:val="left" w:pos="8647"/>
        </w:tabs>
        <w:snapToGrid w:val="0"/>
        <w:ind w:left="360" w:firstLineChars="0" w:firstLine="0"/>
        <w:rPr>
          <w:rFonts w:asciiTheme="minorEastAsia" w:eastAsiaTheme="minorEastAsia" w:hAnsiTheme="minorEastAsia" w:cs="宋体"/>
          <w:vanish/>
          <w:color w:val="333333"/>
          <w:sz w:val="22"/>
          <w:szCs w:val="22"/>
          <w:lang w:eastAsia="zh-CN"/>
        </w:rPr>
      </w:pPr>
    </w:p>
    <w:p w14:paraId="48D37C9E" w14:textId="643BA26D" w:rsidR="004D58D3" w:rsidRPr="00D97C51" w:rsidRDefault="004D58D3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基本原则</w:t>
      </w:r>
    </w:p>
    <w:p w14:paraId="74609BC7" w14:textId="77777777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诚信</w:t>
      </w:r>
    </w:p>
    <w:p w14:paraId="3945198E" w14:textId="77777777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客观</w:t>
      </w:r>
    </w:p>
    <w:p w14:paraId="2AF22498" w14:textId="77777777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专业胜任能力与勤勉尽责</w:t>
      </w:r>
    </w:p>
    <w:p w14:paraId="2672A40D" w14:textId="77777777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保密</w:t>
      </w:r>
    </w:p>
    <w:p w14:paraId="170C4F7B" w14:textId="77777777" w:rsidR="004D58D3" w:rsidRPr="00D97C51" w:rsidRDefault="004D58D3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良好职业行为</w:t>
      </w:r>
    </w:p>
    <w:p w14:paraId="4E51E378" w14:textId="77777777" w:rsidR="004D58D3" w:rsidRPr="00D97C51" w:rsidRDefault="004D58D3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概念框架</w:t>
      </w:r>
    </w:p>
    <w:p w14:paraId="4408503C" w14:textId="307F1A1B" w:rsidR="00D24F11" w:rsidRPr="00D97C51" w:rsidRDefault="00D24F11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职业道德概念框架的一般规定</w:t>
      </w:r>
    </w:p>
    <w:p w14:paraId="316E53A1" w14:textId="5BF4DD47" w:rsidR="00D24F11" w:rsidRPr="00D97C51" w:rsidRDefault="00D24F11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识别对遵循职业道德基本原则产生不利影响的因素</w:t>
      </w:r>
    </w:p>
    <w:p w14:paraId="52E5442D" w14:textId="749DACEC" w:rsidR="00D24F11" w:rsidRPr="00D97C51" w:rsidRDefault="00D24F11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评价不利影响的严重程度</w:t>
      </w:r>
    </w:p>
    <w:p w14:paraId="57F1577A" w14:textId="17B77F47" w:rsidR="00D24F11" w:rsidRPr="00D97C51" w:rsidRDefault="00D24F11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应对不利影响的防范措施</w:t>
      </w:r>
    </w:p>
    <w:p w14:paraId="1CC7133E" w14:textId="22D849FE" w:rsidR="00D24F11" w:rsidRPr="00D97C51" w:rsidRDefault="00D24F11" w:rsidP="005F518D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审计、审阅和其他</w:t>
      </w:r>
      <w:proofErr w:type="gramStart"/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鉴证</w:t>
      </w:r>
      <w:proofErr w:type="gramEnd"/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活动中的独立性</w:t>
      </w:r>
    </w:p>
    <w:p w14:paraId="151C18CF" w14:textId="77777777" w:rsidR="008D6787" w:rsidRPr="00D97C51" w:rsidRDefault="008D6787" w:rsidP="008D6787">
      <w:pPr>
        <w:pStyle w:val="a7"/>
        <w:tabs>
          <w:tab w:val="left" w:pos="8647"/>
        </w:tabs>
        <w:snapToGrid w:val="0"/>
        <w:ind w:left="1200" w:firstLineChars="0" w:firstLine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</w:p>
    <w:p w14:paraId="36905EDE" w14:textId="7DC4DD5A" w:rsidR="004D58D3" w:rsidRPr="00D97C51" w:rsidRDefault="003F104A" w:rsidP="005F518D">
      <w:pPr>
        <w:pStyle w:val="a7"/>
        <w:numPr>
          <w:ilvl w:val="0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 xml:space="preserve"> 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PAP对</w:t>
      </w:r>
      <w:r w:rsidR="00A77A5D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国际</w:t>
      </w:r>
      <w:r w:rsidR="00313DC8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会计师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职业道德</w:t>
      </w:r>
      <w:r w:rsidR="0094165E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准则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的应用（</w:t>
      </w:r>
      <w:r w:rsidR="00313DC8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0.6</w:t>
      </w:r>
      <w:r w:rsidR="004D58D3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小时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）</w:t>
      </w:r>
    </w:p>
    <w:p w14:paraId="279BAF4D" w14:textId="77777777" w:rsidR="008D6787" w:rsidRPr="00D97C51" w:rsidRDefault="008D6787" w:rsidP="00C5545C">
      <w:pPr>
        <w:pStyle w:val="a7"/>
        <w:tabs>
          <w:tab w:val="left" w:pos="8647"/>
        </w:tabs>
        <w:snapToGrid w:val="0"/>
        <w:ind w:left="360" w:firstLineChars="0" w:firstLine="0"/>
        <w:rPr>
          <w:rFonts w:asciiTheme="minorEastAsia" w:eastAsiaTheme="minorEastAsia" w:hAnsiTheme="minorEastAsia" w:cs="宋体"/>
          <w:vanish/>
          <w:color w:val="333333"/>
          <w:sz w:val="22"/>
          <w:szCs w:val="22"/>
          <w:lang w:eastAsia="zh-CN"/>
        </w:rPr>
      </w:pPr>
    </w:p>
    <w:p w14:paraId="5B94302E" w14:textId="6FE10C24" w:rsidR="004D58D3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总体规定</w:t>
      </w:r>
    </w:p>
    <w:p w14:paraId="38F5F258" w14:textId="3C79E174" w:rsidR="007C2B09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利益冲突</w:t>
      </w:r>
    </w:p>
    <w:p w14:paraId="74B69725" w14:textId="526E24E7" w:rsidR="007C2B09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专业服务委托</w:t>
      </w:r>
    </w:p>
    <w:p w14:paraId="6D4AF33C" w14:textId="081ECB58" w:rsidR="007C2B09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向客户提供第二意见</w:t>
      </w:r>
    </w:p>
    <w:p w14:paraId="74E6FFBA" w14:textId="32964890" w:rsidR="007C2B09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专业服务收费</w:t>
      </w:r>
    </w:p>
    <w:p w14:paraId="109ED29D" w14:textId="4CE43239" w:rsidR="007C2B09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利益诱惑</w:t>
      </w:r>
    </w:p>
    <w:p w14:paraId="7E9AC655" w14:textId="77777777" w:rsidR="008D6787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保管客户资产</w:t>
      </w:r>
    </w:p>
    <w:p w14:paraId="389CA31D" w14:textId="13B4151D" w:rsidR="007C2B09" w:rsidRPr="00D97C51" w:rsidRDefault="007C2B09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proofErr w:type="spellStart"/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</w:rPr>
        <w:t>应对违反法律法规</w:t>
      </w:r>
      <w:proofErr w:type="spellEnd"/>
    </w:p>
    <w:p w14:paraId="30D1A681" w14:textId="77777777" w:rsidR="008D6787" w:rsidRPr="00D97C51" w:rsidRDefault="008D6787" w:rsidP="008D6787">
      <w:pPr>
        <w:pStyle w:val="a7"/>
        <w:tabs>
          <w:tab w:val="left" w:pos="8647"/>
        </w:tabs>
        <w:snapToGrid w:val="0"/>
        <w:ind w:left="792" w:firstLineChars="0" w:firstLine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</w:p>
    <w:p w14:paraId="486D990D" w14:textId="797D53EE" w:rsidR="004D58D3" w:rsidRPr="00D97C51" w:rsidRDefault="003F104A" w:rsidP="008D6787">
      <w:pPr>
        <w:pStyle w:val="a7"/>
        <w:numPr>
          <w:ilvl w:val="0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 xml:space="preserve"> 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职业道德准则与独立性要求（</w:t>
      </w:r>
      <w:r w:rsidR="00043991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0.6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小时）</w:t>
      </w:r>
    </w:p>
    <w:p w14:paraId="5A641FAC" w14:textId="77777777" w:rsidR="008D6787" w:rsidRPr="00D97C51" w:rsidRDefault="008D6787" w:rsidP="00C5545C">
      <w:pPr>
        <w:pStyle w:val="a7"/>
        <w:tabs>
          <w:tab w:val="left" w:pos="8647"/>
        </w:tabs>
        <w:snapToGrid w:val="0"/>
        <w:ind w:left="360" w:firstLineChars="0" w:firstLine="0"/>
        <w:rPr>
          <w:rFonts w:asciiTheme="minorEastAsia" w:eastAsiaTheme="minorEastAsia" w:hAnsiTheme="minorEastAsia" w:cs="宋体"/>
          <w:vanish/>
          <w:color w:val="333333"/>
          <w:sz w:val="22"/>
          <w:szCs w:val="22"/>
          <w:lang w:eastAsia="zh-CN"/>
        </w:rPr>
      </w:pPr>
    </w:p>
    <w:p w14:paraId="2F9573FF" w14:textId="7C6C1B66" w:rsidR="004D58D3" w:rsidRPr="00D97C51" w:rsidRDefault="00234E15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对审计和审阅业务中独立性的基本要求</w:t>
      </w:r>
    </w:p>
    <w:p w14:paraId="7032AD03" w14:textId="2622E62D" w:rsidR="00234E15" w:rsidRPr="00D97C51" w:rsidRDefault="00234E15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三大类基础事项的威胁和防范</w:t>
      </w:r>
    </w:p>
    <w:p w14:paraId="138FC32C" w14:textId="5E1CA23D" w:rsidR="004D58D3" w:rsidRPr="00D97C51" w:rsidRDefault="004D58D3" w:rsidP="008D6787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利益</w:t>
      </w:r>
    </w:p>
    <w:p w14:paraId="0D3F380B" w14:textId="0B88F094" w:rsidR="004D58D3" w:rsidRPr="00D97C51" w:rsidRDefault="00234E15" w:rsidP="008D6787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关系</w:t>
      </w:r>
    </w:p>
    <w:p w14:paraId="4D55B54B" w14:textId="1F821F41" w:rsidR="004D58D3" w:rsidRPr="00D97C51" w:rsidRDefault="00234E15" w:rsidP="008D6787">
      <w:pPr>
        <w:pStyle w:val="a7"/>
        <w:numPr>
          <w:ilvl w:val="0"/>
          <w:numId w:val="19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服务</w:t>
      </w:r>
    </w:p>
    <w:p w14:paraId="2EF9038D" w14:textId="77777777" w:rsidR="008D6787" w:rsidRPr="00D97C51" w:rsidRDefault="008D6787" w:rsidP="008D6787">
      <w:pPr>
        <w:pStyle w:val="a7"/>
        <w:tabs>
          <w:tab w:val="left" w:pos="8647"/>
        </w:tabs>
        <w:snapToGrid w:val="0"/>
        <w:ind w:left="1200" w:firstLineChars="0" w:firstLine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</w:p>
    <w:p w14:paraId="666F354D" w14:textId="70B1FB27" w:rsidR="004D58D3" w:rsidRPr="00D97C51" w:rsidRDefault="00B645C1" w:rsidP="008D6787">
      <w:pPr>
        <w:pStyle w:val="a7"/>
        <w:numPr>
          <w:ilvl w:val="0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 xml:space="preserve"> </w:t>
      </w:r>
      <w:r w:rsidR="00AB06AC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职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业道德准则与内外部治理系统</w:t>
      </w:r>
      <w:r w:rsidR="004D58D3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 xml:space="preserve"> 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（</w:t>
      </w:r>
      <w:r w:rsidR="004D58D3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0.</w:t>
      </w:r>
      <w:r w:rsidR="00043991" w:rsidRPr="00D97C51"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  <w:t>6</w:t>
      </w:r>
      <w:r w:rsidR="004D58D3"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小时）</w:t>
      </w:r>
    </w:p>
    <w:p w14:paraId="27D34665" w14:textId="77777777" w:rsidR="008D6787" w:rsidRPr="00D97C51" w:rsidRDefault="008D6787" w:rsidP="00C5545C">
      <w:pPr>
        <w:pStyle w:val="a7"/>
        <w:tabs>
          <w:tab w:val="left" w:pos="8647"/>
        </w:tabs>
        <w:snapToGrid w:val="0"/>
        <w:ind w:left="360" w:firstLineChars="0" w:firstLine="0"/>
        <w:rPr>
          <w:rFonts w:asciiTheme="minorEastAsia" w:eastAsiaTheme="minorEastAsia" w:hAnsiTheme="minorEastAsia" w:cs="宋体"/>
          <w:vanish/>
          <w:color w:val="333333"/>
          <w:sz w:val="22"/>
          <w:szCs w:val="22"/>
          <w:lang w:eastAsia="zh-CN"/>
        </w:rPr>
      </w:pPr>
    </w:p>
    <w:p w14:paraId="535CC94D" w14:textId="13726D2E" w:rsidR="004D58D3" w:rsidRPr="00D97C51" w:rsidRDefault="004D58D3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内部治理系统</w:t>
      </w:r>
    </w:p>
    <w:p w14:paraId="29A37241" w14:textId="77777777" w:rsidR="004D58D3" w:rsidRPr="00D97C51" w:rsidRDefault="004D58D3" w:rsidP="00C5545C">
      <w:pPr>
        <w:pStyle w:val="a7"/>
        <w:numPr>
          <w:ilvl w:val="1"/>
          <w:numId w:val="15"/>
        </w:numPr>
        <w:tabs>
          <w:tab w:val="left" w:pos="8647"/>
        </w:tabs>
        <w:snapToGrid w:val="0"/>
        <w:ind w:firstLineChars="0"/>
        <w:rPr>
          <w:rFonts w:asciiTheme="minorEastAsia" w:eastAsiaTheme="minorEastAsia" w:hAnsiTheme="minorEastAsia" w:cs="宋体"/>
          <w:color w:val="333333"/>
          <w:sz w:val="22"/>
          <w:szCs w:val="22"/>
          <w:lang w:eastAsia="zh-CN"/>
        </w:rPr>
      </w:pPr>
      <w:r w:rsidRPr="00D97C51">
        <w:rPr>
          <w:rFonts w:asciiTheme="minorEastAsia" w:eastAsiaTheme="minorEastAsia" w:hAnsiTheme="minorEastAsia" w:cs="宋体" w:hint="eastAsia"/>
          <w:color w:val="333333"/>
          <w:sz w:val="22"/>
          <w:szCs w:val="22"/>
          <w:lang w:eastAsia="zh-CN"/>
        </w:rPr>
        <w:t>外部治理系统</w:t>
      </w:r>
    </w:p>
    <w:p w14:paraId="1F21371E" w14:textId="77777777" w:rsidR="00981CEE" w:rsidRPr="00D97C51" w:rsidRDefault="00981CEE">
      <w:pPr>
        <w:ind w:firstLine="440"/>
        <w:rPr>
          <w:rFonts w:asciiTheme="minorEastAsia" w:hAnsiTheme="minorEastAsia"/>
          <w:sz w:val="22"/>
          <w:szCs w:val="22"/>
        </w:rPr>
      </w:pPr>
    </w:p>
    <w:p w14:paraId="750A10F6" w14:textId="77777777" w:rsidR="00142A7E" w:rsidRPr="00D97C51" w:rsidRDefault="0010411C" w:rsidP="00142A7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hint="eastAsia"/>
          <w:b/>
          <w:bCs/>
          <w:sz w:val="22"/>
          <w:szCs w:val="22"/>
        </w:rPr>
        <w:t>报名咨询</w:t>
      </w:r>
    </w:p>
    <w:p w14:paraId="34219857" w14:textId="77777777" w:rsidR="00142A7E" w:rsidRPr="00D97C51" w:rsidRDefault="005D5F98" w:rsidP="00142A7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cs="Arial" w:hint="eastAsia"/>
          <w:sz w:val="22"/>
          <w:szCs w:val="22"/>
        </w:rPr>
        <w:t>全年非节假日均接受报名及咨询，具体详</w:t>
      </w:r>
      <w:proofErr w:type="gramStart"/>
      <w:r w:rsidRPr="00D97C51">
        <w:rPr>
          <w:rFonts w:asciiTheme="minorEastAsia" w:hAnsiTheme="minorEastAsia" w:cs="Arial" w:hint="eastAsia"/>
          <w:sz w:val="22"/>
          <w:szCs w:val="22"/>
        </w:rPr>
        <w:t>询</w:t>
      </w:r>
      <w:proofErr w:type="gramEnd"/>
      <w:r w:rsidRPr="00D97C51">
        <w:rPr>
          <w:rFonts w:asciiTheme="minorEastAsia" w:hAnsiTheme="minorEastAsia" w:cs="Arial"/>
          <w:sz w:val="22"/>
          <w:szCs w:val="22"/>
        </w:rPr>
        <w:t>IPA</w:t>
      </w:r>
      <w:r w:rsidRPr="00D97C51">
        <w:rPr>
          <w:rFonts w:asciiTheme="minorEastAsia" w:hAnsiTheme="minorEastAsia" w:cs="Arial" w:hint="eastAsia"/>
          <w:sz w:val="22"/>
          <w:szCs w:val="22"/>
        </w:rPr>
        <w:t>中国办公室：</w:t>
      </w:r>
    </w:p>
    <w:p w14:paraId="405ED459" w14:textId="77777777" w:rsidR="00142A7E" w:rsidRPr="00D97C51" w:rsidRDefault="005D5F98" w:rsidP="00142A7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cs="Arial"/>
          <w:sz w:val="22"/>
          <w:szCs w:val="22"/>
        </w:rPr>
        <w:t xml:space="preserve">联系人： </w:t>
      </w:r>
      <w:r w:rsidRPr="00D97C51">
        <w:rPr>
          <w:rFonts w:asciiTheme="minorEastAsia" w:hAnsiTheme="minorEastAsia" w:cs="Arial" w:hint="eastAsia"/>
          <w:sz w:val="22"/>
          <w:szCs w:val="22"/>
        </w:rPr>
        <w:t>王老师</w:t>
      </w:r>
    </w:p>
    <w:p w14:paraId="232948DE" w14:textId="77777777" w:rsidR="00142A7E" w:rsidRPr="00D97C51" w:rsidRDefault="005D5F98" w:rsidP="00142A7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cs="Arial"/>
          <w:sz w:val="22"/>
          <w:szCs w:val="22"/>
        </w:rPr>
        <w:t>电话：</w:t>
      </w:r>
      <w:r w:rsidRPr="00D97C51">
        <w:rPr>
          <w:rFonts w:asciiTheme="minorEastAsia" w:hAnsiTheme="minorEastAsia" w:cs="Arial" w:hint="eastAsia"/>
          <w:sz w:val="22"/>
          <w:szCs w:val="22"/>
        </w:rPr>
        <w:t>4009990590</w:t>
      </w:r>
    </w:p>
    <w:p w14:paraId="7123BD0F" w14:textId="3356C751" w:rsidR="005D5F98" w:rsidRPr="00D97C51" w:rsidRDefault="005D5F98" w:rsidP="00142A7E">
      <w:pPr>
        <w:ind w:firstLine="440"/>
        <w:rPr>
          <w:rFonts w:asciiTheme="minorEastAsia" w:hAnsiTheme="minorEastAsia"/>
          <w:b/>
          <w:bCs/>
          <w:sz w:val="22"/>
          <w:szCs w:val="22"/>
        </w:rPr>
      </w:pPr>
      <w:r w:rsidRPr="00D97C51">
        <w:rPr>
          <w:rFonts w:asciiTheme="minorEastAsia" w:hAnsiTheme="minorEastAsia" w:cs="Arial"/>
          <w:sz w:val="22"/>
          <w:szCs w:val="22"/>
        </w:rPr>
        <w:t>邮箱：</w:t>
      </w:r>
      <w:r w:rsidRPr="00D97C51">
        <w:rPr>
          <w:rFonts w:asciiTheme="minorEastAsia" w:hAnsiTheme="minorEastAsia" w:cs="Arial" w:hint="eastAsia"/>
          <w:sz w:val="22"/>
          <w:szCs w:val="22"/>
        </w:rPr>
        <w:t>china.membership@publicaccountants.org.au</w:t>
      </w:r>
    </w:p>
    <w:p w14:paraId="0318DED7" w14:textId="77777777" w:rsidR="005D5F98" w:rsidRPr="00D97C51" w:rsidRDefault="005D5F98" w:rsidP="00142A7E">
      <w:pPr>
        <w:ind w:left="478" w:firstLineChars="0" w:firstLine="0"/>
        <w:jc w:val="both"/>
        <w:rPr>
          <w:rFonts w:asciiTheme="minorEastAsia" w:hAnsiTheme="minorEastAsia" w:cs="Arial"/>
          <w:sz w:val="22"/>
          <w:szCs w:val="22"/>
        </w:rPr>
      </w:pPr>
      <w:r w:rsidRPr="00D97C51">
        <w:rPr>
          <w:rFonts w:asciiTheme="minorEastAsia" w:hAnsiTheme="minorEastAsia" w:cs="Arial" w:hint="eastAsia"/>
          <w:sz w:val="22"/>
          <w:szCs w:val="22"/>
        </w:rPr>
        <w:t>I</w:t>
      </w:r>
      <w:r w:rsidRPr="00D97C51">
        <w:rPr>
          <w:rFonts w:asciiTheme="minorEastAsia" w:hAnsiTheme="minorEastAsia" w:cs="Arial"/>
          <w:sz w:val="22"/>
          <w:szCs w:val="22"/>
        </w:rPr>
        <w:t>PA网址：</w:t>
      </w:r>
      <w:hyperlink r:id="rId8" w:history="1">
        <w:r w:rsidRPr="00D97C51">
          <w:rPr>
            <w:rStyle w:val="a9"/>
            <w:rFonts w:asciiTheme="minorEastAsia" w:hAnsiTheme="minorEastAsia" w:cs="Arial"/>
            <w:sz w:val="22"/>
            <w:szCs w:val="22"/>
          </w:rPr>
          <w:t>www.publicaccountants.org.au</w:t>
        </w:r>
      </w:hyperlink>
      <w:r w:rsidRPr="00D97C51">
        <w:rPr>
          <w:rStyle w:val="a9"/>
          <w:rFonts w:asciiTheme="minorEastAsia" w:hAnsiTheme="minorEastAsia" w:cs="Arial"/>
          <w:sz w:val="22"/>
          <w:szCs w:val="22"/>
        </w:rPr>
        <w:t xml:space="preserve"> </w:t>
      </w:r>
      <w:r w:rsidRPr="00D97C51">
        <w:rPr>
          <w:rFonts w:asciiTheme="minorEastAsia" w:hAnsiTheme="minorEastAsia" w:cs="Arial"/>
          <w:sz w:val="22"/>
          <w:szCs w:val="22"/>
        </w:rPr>
        <w:t>（全球）；</w:t>
      </w:r>
      <w:hyperlink r:id="rId9" w:history="1">
        <w:r w:rsidRPr="00D97C51">
          <w:rPr>
            <w:rStyle w:val="a9"/>
            <w:rFonts w:asciiTheme="minorEastAsia" w:hAnsiTheme="minorEastAsia" w:cs="Arial"/>
            <w:sz w:val="22"/>
            <w:szCs w:val="22"/>
          </w:rPr>
          <w:t>www.ipaau.org.cn</w:t>
        </w:r>
      </w:hyperlink>
      <w:r w:rsidRPr="00D97C51">
        <w:rPr>
          <w:rFonts w:asciiTheme="minorEastAsia" w:hAnsiTheme="minorEastAsia" w:cs="Arial" w:hint="eastAsia"/>
          <w:sz w:val="22"/>
          <w:szCs w:val="22"/>
          <w:lang w:eastAsia="zh-Hans"/>
        </w:rPr>
        <w:t>（</w:t>
      </w:r>
      <w:r w:rsidRPr="00D97C51">
        <w:rPr>
          <w:rFonts w:asciiTheme="minorEastAsia" w:hAnsiTheme="minorEastAsia" w:cs="Arial"/>
          <w:sz w:val="22"/>
          <w:szCs w:val="22"/>
        </w:rPr>
        <w:t>中国）</w:t>
      </w:r>
    </w:p>
    <w:p w14:paraId="296FA39C" w14:textId="24D1E65D" w:rsidR="0010411C" w:rsidRPr="00D97C51" w:rsidRDefault="0010411C" w:rsidP="005D5F98">
      <w:pPr>
        <w:ind w:firstLine="440"/>
        <w:rPr>
          <w:rFonts w:asciiTheme="minorEastAsia" w:hAnsiTheme="minorEastAsia"/>
          <w:sz w:val="22"/>
          <w:szCs w:val="22"/>
        </w:rPr>
      </w:pPr>
    </w:p>
    <w:sectPr w:rsidR="0010411C" w:rsidRPr="00D97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4F0DC" w14:textId="77777777" w:rsidR="00745E96" w:rsidRDefault="00745E96" w:rsidP="00743744">
      <w:pPr>
        <w:spacing w:line="240" w:lineRule="auto"/>
        <w:ind w:firstLine="480"/>
      </w:pPr>
      <w:r>
        <w:separator/>
      </w:r>
    </w:p>
  </w:endnote>
  <w:endnote w:type="continuationSeparator" w:id="0">
    <w:p w14:paraId="727E1DD3" w14:textId="77777777" w:rsidR="00745E96" w:rsidRDefault="00745E96" w:rsidP="00743744">
      <w:pPr>
        <w:spacing w:line="240" w:lineRule="auto"/>
        <w:ind w:firstLine="480"/>
      </w:pPr>
      <w:r>
        <w:continuationSeparator/>
      </w:r>
    </w:p>
  </w:endnote>
  <w:endnote w:type="continuationNotice" w:id="1">
    <w:p w14:paraId="42E9B946" w14:textId="77777777" w:rsidR="005A21FE" w:rsidRDefault="005A21FE">
      <w:pPr>
        <w:spacing w:line="240" w:lineRule="auto"/>
        <w:ind w:firstLine="48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D6223" w14:textId="2378F169" w:rsidR="004D58D3" w:rsidRDefault="00066845">
    <w:pPr>
      <w:pStyle w:val="a5"/>
      <w:ind w:firstLine="480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1D21C2A" wp14:editId="15C7FA4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56353714" name="文本框 2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3327F1" w14:textId="29901DBF" w:rsidR="00066845" w:rsidRPr="00066845" w:rsidRDefault="00066845" w:rsidP="00066845">
                          <w:pPr>
                            <w:ind w:firstLine="24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668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IPA/IFA - 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21C2A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alt="IPA/IFA -  General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43327F1" w14:textId="29901DBF" w:rsidR="00066845" w:rsidRPr="00066845" w:rsidRDefault="00066845" w:rsidP="00066845">
                    <w:pPr>
                      <w:ind w:firstLine="24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668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IPA/IFA - 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DC42D" w14:textId="5C456E0D" w:rsidR="004D58D3" w:rsidRDefault="00066845">
    <w:pPr>
      <w:pStyle w:val="a5"/>
      <w:ind w:firstLine="480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E9BD165" wp14:editId="54E16FA0">
              <wp:simplePos x="1147313" y="988587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9062540" name="文本框 3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EE908F" w14:textId="532CA978" w:rsidR="00066845" w:rsidRPr="00066845" w:rsidRDefault="00066845" w:rsidP="00066845">
                          <w:pPr>
                            <w:ind w:firstLine="24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668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IPA/IFA - 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9BD16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alt="IPA/IFA -  Gener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8EE908F" w14:textId="532CA978" w:rsidR="00066845" w:rsidRPr="00066845" w:rsidRDefault="00066845" w:rsidP="00066845">
                    <w:pPr>
                      <w:ind w:firstLine="24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668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IPA/IFA - 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C152" w14:textId="32E0E930" w:rsidR="004D58D3" w:rsidRDefault="00066845">
    <w:pPr>
      <w:pStyle w:val="a5"/>
      <w:ind w:firstLine="480"/>
    </w:pPr>
    <w:r>
      <w:rPr>
        <w:noProof/>
        <w:bdr w:val="none" w:sz="0" w:space="0" w:color="auto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95E9EAA" wp14:editId="0D2F2E5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486339542" name="文本框 1" descr="IPA/IFA - 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86535" w14:textId="7C8F7FD6" w:rsidR="00066845" w:rsidRPr="00066845" w:rsidRDefault="00066845" w:rsidP="00066845">
                          <w:pPr>
                            <w:ind w:firstLine="24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0668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IPA/IFA - 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5E9EA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8" type="#_x0000_t202" alt="IPA/IFA -  Gener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386535" w14:textId="7C8F7FD6" w:rsidR="00066845" w:rsidRPr="00066845" w:rsidRDefault="00066845" w:rsidP="00066845">
                    <w:pPr>
                      <w:ind w:firstLine="24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0668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IPA/IFA - 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6F9F" w14:textId="77777777" w:rsidR="00745E96" w:rsidRDefault="00745E96" w:rsidP="00743744">
      <w:pPr>
        <w:spacing w:line="240" w:lineRule="auto"/>
        <w:ind w:firstLine="480"/>
      </w:pPr>
      <w:r>
        <w:separator/>
      </w:r>
    </w:p>
  </w:footnote>
  <w:footnote w:type="continuationSeparator" w:id="0">
    <w:p w14:paraId="4EE622B7" w14:textId="77777777" w:rsidR="00745E96" w:rsidRDefault="00745E96" w:rsidP="00743744">
      <w:pPr>
        <w:spacing w:line="240" w:lineRule="auto"/>
        <w:ind w:firstLine="480"/>
      </w:pPr>
      <w:r>
        <w:continuationSeparator/>
      </w:r>
    </w:p>
  </w:footnote>
  <w:footnote w:type="continuationNotice" w:id="1">
    <w:p w14:paraId="54D9F5A0" w14:textId="77777777" w:rsidR="005A21FE" w:rsidRDefault="005A21FE">
      <w:pPr>
        <w:spacing w:line="240" w:lineRule="auto"/>
        <w:ind w:firstLine="48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9AAA" w14:textId="77777777" w:rsidR="004D58D3" w:rsidRDefault="004D58D3">
    <w:pPr>
      <w:pStyle w:val="a3"/>
      <w:ind w:firstLin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D167" w14:textId="77777777" w:rsidR="004D58D3" w:rsidRDefault="004D58D3">
    <w:pPr>
      <w:pStyle w:val="a3"/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62A9" w14:textId="77777777" w:rsidR="004D58D3" w:rsidRDefault="004D58D3">
    <w:pPr>
      <w:pStyle w:val="a3"/>
      <w:ind w:firstLine="4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A25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345F9"/>
    <w:multiLevelType w:val="hybridMultilevel"/>
    <w:tmpl w:val="34D2C686"/>
    <w:lvl w:ilvl="0" w:tplc="04090011">
      <w:start w:val="1"/>
      <w:numFmt w:val="decimal"/>
      <w:lvlText w:val="%1)"/>
      <w:lvlJc w:val="left"/>
      <w:pPr>
        <w:ind w:left="-278" w:hanging="420"/>
      </w:pPr>
    </w:lvl>
    <w:lvl w:ilvl="1" w:tplc="04090019" w:tentative="1">
      <w:start w:val="1"/>
      <w:numFmt w:val="lowerLetter"/>
      <w:lvlText w:val="%2)"/>
      <w:lvlJc w:val="left"/>
      <w:pPr>
        <w:ind w:left="142" w:hanging="420"/>
      </w:pPr>
    </w:lvl>
    <w:lvl w:ilvl="2" w:tplc="0409001B" w:tentative="1">
      <w:start w:val="1"/>
      <w:numFmt w:val="lowerRoman"/>
      <w:lvlText w:val="%3."/>
      <w:lvlJc w:val="right"/>
      <w:pPr>
        <w:ind w:left="562" w:hanging="420"/>
      </w:pPr>
    </w:lvl>
    <w:lvl w:ilvl="3" w:tplc="0409000F" w:tentative="1">
      <w:start w:val="1"/>
      <w:numFmt w:val="decimal"/>
      <w:lvlText w:val="%4."/>
      <w:lvlJc w:val="left"/>
      <w:pPr>
        <w:ind w:left="982" w:hanging="420"/>
      </w:pPr>
    </w:lvl>
    <w:lvl w:ilvl="4" w:tplc="04090019" w:tentative="1">
      <w:start w:val="1"/>
      <w:numFmt w:val="lowerLetter"/>
      <w:lvlText w:val="%5)"/>
      <w:lvlJc w:val="left"/>
      <w:pPr>
        <w:ind w:left="1402" w:hanging="420"/>
      </w:pPr>
    </w:lvl>
    <w:lvl w:ilvl="5" w:tplc="0409001B" w:tentative="1">
      <w:start w:val="1"/>
      <w:numFmt w:val="lowerRoman"/>
      <w:lvlText w:val="%6."/>
      <w:lvlJc w:val="right"/>
      <w:pPr>
        <w:ind w:left="1822" w:hanging="420"/>
      </w:pPr>
    </w:lvl>
    <w:lvl w:ilvl="6" w:tplc="0409000F" w:tentative="1">
      <w:start w:val="1"/>
      <w:numFmt w:val="decimal"/>
      <w:lvlText w:val="%7."/>
      <w:lvlJc w:val="left"/>
      <w:pPr>
        <w:ind w:left="2242" w:hanging="420"/>
      </w:pPr>
    </w:lvl>
    <w:lvl w:ilvl="7" w:tplc="04090019" w:tentative="1">
      <w:start w:val="1"/>
      <w:numFmt w:val="lowerLetter"/>
      <w:lvlText w:val="%8)"/>
      <w:lvlJc w:val="left"/>
      <w:pPr>
        <w:ind w:left="2662" w:hanging="420"/>
      </w:pPr>
    </w:lvl>
    <w:lvl w:ilvl="8" w:tplc="0409001B" w:tentative="1">
      <w:start w:val="1"/>
      <w:numFmt w:val="lowerRoman"/>
      <w:lvlText w:val="%9."/>
      <w:lvlJc w:val="right"/>
      <w:pPr>
        <w:ind w:left="3082" w:hanging="420"/>
      </w:pPr>
    </w:lvl>
  </w:abstractNum>
  <w:abstractNum w:abstractNumId="2" w15:restartNumberingAfterBreak="0">
    <w:nsid w:val="163F1199"/>
    <w:multiLevelType w:val="hybridMultilevel"/>
    <w:tmpl w:val="91F27D28"/>
    <w:lvl w:ilvl="0" w:tplc="FA646A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5121A2"/>
    <w:multiLevelType w:val="hybridMultilevel"/>
    <w:tmpl w:val="F7B207B0"/>
    <w:lvl w:ilvl="0" w:tplc="CB5E59EA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 w15:restartNumberingAfterBreak="0">
    <w:nsid w:val="2B290722"/>
    <w:multiLevelType w:val="hybridMultilevel"/>
    <w:tmpl w:val="DC2895B0"/>
    <w:lvl w:ilvl="0" w:tplc="FA646AD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39045E"/>
    <w:multiLevelType w:val="hybridMultilevel"/>
    <w:tmpl w:val="6960EFC8"/>
    <w:lvl w:ilvl="0" w:tplc="78280DC0">
      <w:start w:val="1"/>
      <w:numFmt w:val="decimal"/>
      <w:lvlText w:val="%1)"/>
      <w:lvlJc w:val="left"/>
      <w:pPr>
        <w:ind w:left="121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37" w:hanging="420"/>
      </w:pPr>
    </w:lvl>
    <w:lvl w:ilvl="2" w:tplc="0409001B" w:tentative="1">
      <w:start w:val="1"/>
      <w:numFmt w:val="lowerRoman"/>
      <w:lvlText w:val="%3."/>
      <w:lvlJc w:val="righ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9" w:tentative="1">
      <w:start w:val="1"/>
      <w:numFmt w:val="lowerLetter"/>
      <w:lvlText w:val="%5)"/>
      <w:lvlJc w:val="left"/>
      <w:pPr>
        <w:ind w:left="2897" w:hanging="420"/>
      </w:pPr>
    </w:lvl>
    <w:lvl w:ilvl="5" w:tplc="0409001B" w:tentative="1">
      <w:start w:val="1"/>
      <w:numFmt w:val="lowerRoman"/>
      <w:lvlText w:val="%6."/>
      <w:lvlJc w:val="righ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9" w:tentative="1">
      <w:start w:val="1"/>
      <w:numFmt w:val="lowerLetter"/>
      <w:lvlText w:val="%8)"/>
      <w:lvlJc w:val="left"/>
      <w:pPr>
        <w:ind w:left="4157" w:hanging="420"/>
      </w:pPr>
    </w:lvl>
    <w:lvl w:ilvl="8" w:tplc="0409001B" w:tentative="1">
      <w:start w:val="1"/>
      <w:numFmt w:val="lowerRoman"/>
      <w:lvlText w:val="%9."/>
      <w:lvlJc w:val="right"/>
      <w:pPr>
        <w:ind w:left="4577" w:hanging="420"/>
      </w:pPr>
    </w:lvl>
  </w:abstractNum>
  <w:abstractNum w:abstractNumId="6" w15:restartNumberingAfterBreak="0">
    <w:nsid w:val="3C9C7E58"/>
    <w:multiLevelType w:val="hybridMultilevel"/>
    <w:tmpl w:val="EFE4A580"/>
    <w:lvl w:ilvl="0" w:tplc="5996358C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44B0472F"/>
    <w:multiLevelType w:val="hybridMultilevel"/>
    <w:tmpl w:val="1D3612C8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E569B5"/>
    <w:multiLevelType w:val="hybridMultilevel"/>
    <w:tmpl w:val="E3EC8CB0"/>
    <w:lvl w:ilvl="0" w:tplc="78280DC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680" w:hanging="420"/>
      </w:pPr>
    </w:lvl>
    <w:lvl w:ilvl="2" w:tplc="FFFFFFFF" w:tentative="1">
      <w:start w:val="1"/>
      <w:numFmt w:val="lowerRoman"/>
      <w:lvlText w:val="%3."/>
      <w:lvlJc w:val="righ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lowerLetter"/>
      <w:lvlText w:val="%5)"/>
      <w:lvlJc w:val="left"/>
      <w:pPr>
        <w:ind w:left="2940" w:hanging="420"/>
      </w:pPr>
    </w:lvl>
    <w:lvl w:ilvl="5" w:tplc="FFFFFFFF" w:tentative="1">
      <w:start w:val="1"/>
      <w:numFmt w:val="lowerRoman"/>
      <w:lvlText w:val="%6."/>
      <w:lvlJc w:val="righ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lowerLetter"/>
      <w:lvlText w:val="%8)"/>
      <w:lvlJc w:val="left"/>
      <w:pPr>
        <w:ind w:left="4200" w:hanging="420"/>
      </w:pPr>
    </w:lvl>
    <w:lvl w:ilvl="8" w:tplc="FFFFFFFF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5AB52438"/>
    <w:multiLevelType w:val="hybridMultilevel"/>
    <w:tmpl w:val="A0404B4C"/>
    <w:lvl w:ilvl="0" w:tplc="4E684342">
      <w:start w:val="1"/>
      <w:numFmt w:val="decimal"/>
      <w:lvlText w:val="%1)"/>
      <w:lvlJc w:val="left"/>
      <w:pPr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0" w15:restartNumberingAfterBreak="0">
    <w:nsid w:val="644F7CEF"/>
    <w:multiLevelType w:val="hybridMultilevel"/>
    <w:tmpl w:val="194E1BBE"/>
    <w:lvl w:ilvl="0" w:tplc="E7B6E10C">
      <w:numFmt w:val="bullet"/>
      <w:lvlText w:val="-"/>
      <w:lvlJc w:val="left"/>
      <w:pPr>
        <w:ind w:left="1200" w:hanging="360"/>
      </w:pPr>
      <w:rPr>
        <w:rFonts w:ascii="Microsoft JhengHei UI" w:eastAsia="Microsoft JhengHei UI" w:hAnsi="Microsoft JhengHei UI" w:cs="宋体" w:hint="eastAsia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65884D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A9A68EA"/>
    <w:multiLevelType w:val="hybridMultilevel"/>
    <w:tmpl w:val="2DD24D5A"/>
    <w:lvl w:ilvl="0" w:tplc="04090011">
      <w:start w:val="1"/>
      <w:numFmt w:val="decimal"/>
      <w:lvlText w:val="%1)"/>
      <w:lvlJc w:val="left"/>
      <w:pPr>
        <w:ind w:left="1697" w:hanging="420"/>
      </w:p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13" w15:restartNumberingAfterBreak="0">
    <w:nsid w:val="6D830947"/>
    <w:multiLevelType w:val="hybridMultilevel"/>
    <w:tmpl w:val="0AB87E14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3C65059"/>
    <w:multiLevelType w:val="hybridMultilevel"/>
    <w:tmpl w:val="B11E6144"/>
    <w:lvl w:ilvl="0" w:tplc="47C6F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5" w15:restartNumberingAfterBreak="0">
    <w:nsid w:val="7BF53577"/>
    <w:multiLevelType w:val="hybridMultilevel"/>
    <w:tmpl w:val="7936A010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FA646ADA">
      <w:start w:val="1"/>
      <w:numFmt w:val="decimal"/>
      <w:lvlText w:val="%2."/>
      <w:lvlJc w:val="left"/>
      <w:pPr>
        <w:ind w:left="420" w:hanging="42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C8669D6"/>
    <w:multiLevelType w:val="hybridMultilevel"/>
    <w:tmpl w:val="019AE6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EDB61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0299867">
    <w:abstractNumId w:val="12"/>
  </w:num>
  <w:num w:numId="2" w16cid:durableId="322970389">
    <w:abstractNumId w:val="4"/>
  </w:num>
  <w:num w:numId="3" w16cid:durableId="144199043">
    <w:abstractNumId w:val="2"/>
  </w:num>
  <w:num w:numId="4" w16cid:durableId="1644651693">
    <w:abstractNumId w:val="7"/>
  </w:num>
  <w:num w:numId="5" w16cid:durableId="391581436">
    <w:abstractNumId w:val="1"/>
  </w:num>
  <w:num w:numId="6" w16cid:durableId="2086418119">
    <w:abstractNumId w:val="13"/>
  </w:num>
  <w:num w:numId="7" w16cid:durableId="1089349285">
    <w:abstractNumId w:val="16"/>
  </w:num>
  <w:num w:numId="8" w16cid:durableId="1178077842">
    <w:abstractNumId w:val="15"/>
  </w:num>
  <w:num w:numId="9" w16cid:durableId="1164081367">
    <w:abstractNumId w:val="3"/>
  </w:num>
  <w:num w:numId="10" w16cid:durableId="622618426">
    <w:abstractNumId w:val="8"/>
  </w:num>
  <w:num w:numId="11" w16cid:durableId="1914118212">
    <w:abstractNumId w:val="12"/>
    <w:lvlOverride w:ilvl="0">
      <w:lvl w:ilvl="0" w:tplc="04090011">
        <w:start w:val="1"/>
        <w:numFmt w:val="decimal"/>
        <w:lvlText w:val="%1)"/>
        <w:lvlJc w:val="left"/>
        <w:pPr>
          <w:ind w:left="1697" w:hanging="4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12" w16cid:durableId="208609813">
    <w:abstractNumId w:val="5"/>
  </w:num>
  <w:num w:numId="13" w16cid:durableId="1514492696">
    <w:abstractNumId w:val="6"/>
  </w:num>
  <w:num w:numId="14" w16cid:durableId="1390423206">
    <w:abstractNumId w:val="14"/>
  </w:num>
  <w:num w:numId="15" w16cid:durableId="976179998">
    <w:abstractNumId w:val="11"/>
  </w:num>
  <w:num w:numId="16" w16cid:durableId="1016273758">
    <w:abstractNumId w:val="0"/>
  </w:num>
  <w:num w:numId="17" w16cid:durableId="1029405343">
    <w:abstractNumId w:val="17"/>
  </w:num>
  <w:num w:numId="18" w16cid:durableId="261112376">
    <w:abstractNumId w:val="9"/>
  </w:num>
  <w:num w:numId="19" w16cid:durableId="16618896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744"/>
    <w:rsid w:val="00043991"/>
    <w:rsid w:val="00066845"/>
    <w:rsid w:val="0010411C"/>
    <w:rsid w:val="0011075B"/>
    <w:rsid w:val="00142A7E"/>
    <w:rsid w:val="001A426C"/>
    <w:rsid w:val="001F5E9E"/>
    <w:rsid w:val="00234E15"/>
    <w:rsid w:val="00240CBD"/>
    <w:rsid w:val="002E19A2"/>
    <w:rsid w:val="00313DC8"/>
    <w:rsid w:val="00386EEA"/>
    <w:rsid w:val="003A7D4E"/>
    <w:rsid w:val="003F104A"/>
    <w:rsid w:val="004D58D3"/>
    <w:rsid w:val="00597A76"/>
    <w:rsid w:val="005A21FE"/>
    <w:rsid w:val="005D5F98"/>
    <w:rsid w:val="005F518D"/>
    <w:rsid w:val="00646032"/>
    <w:rsid w:val="0066407B"/>
    <w:rsid w:val="006B6EBF"/>
    <w:rsid w:val="00740013"/>
    <w:rsid w:val="00742AA2"/>
    <w:rsid w:val="00743744"/>
    <w:rsid w:val="00745E96"/>
    <w:rsid w:val="007820E0"/>
    <w:rsid w:val="00796876"/>
    <w:rsid w:val="007C2B09"/>
    <w:rsid w:val="008107D0"/>
    <w:rsid w:val="008D6787"/>
    <w:rsid w:val="00902A98"/>
    <w:rsid w:val="0094165E"/>
    <w:rsid w:val="00967550"/>
    <w:rsid w:val="00981CEE"/>
    <w:rsid w:val="00A77A5D"/>
    <w:rsid w:val="00A86B5C"/>
    <w:rsid w:val="00AB06AC"/>
    <w:rsid w:val="00B01298"/>
    <w:rsid w:val="00B645C1"/>
    <w:rsid w:val="00C5545C"/>
    <w:rsid w:val="00CA2BB2"/>
    <w:rsid w:val="00D24F11"/>
    <w:rsid w:val="00D55209"/>
    <w:rsid w:val="00D97C51"/>
    <w:rsid w:val="00E25144"/>
    <w:rsid w:val="00E8052D"/>
    <w:rsid w:val="00ED7DAC"/>
    <w:rsid w:val="00FA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67948"/>
  <w15:chartTrackingRefBased/>
  <w15:docId w15:val="{CA65C496-D243-423F-95B0-9D460185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744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Chars="200" w:firstLine="200"/>
    </w:pPr>
    <w:rPr>
      <w:rFonts w:ascii="Times New Roman" w:hAnsi="Times New Roman" w:cs="Times New Roman"/>
      <w:kern w:val="0"/>
      <w:sz w:val="24"/>
      <w:szCs w:val="24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8D3"/>
    <w:pPr>
      <w:tabs>
        <w:tab w:val="center" w:pos="4320"/>
        <w:tab w:val="right" w:pos="8640"/>
      </w:tabs>
      <w:spacing w:line="240" w:lineRule="auto"/>
    </w:pPr>
  </w:style>
  <w:style w:type="character" w:customStyle="1" w:styleId="a4">
    <w:name w:val="页眉 字符"/>
    <w:basedOn w:val="a0"/>
    <w:link w:val="a3"/>
    <w:uiPriority w:val="99"/>
    <w:rsid w:val="004D58D3"/>
    <w:rPr>
      <w:rFonts w:ascii="Times New Roman" w:hAnsi="Times New Roman" w:cs="Times New Roman"/>
      <w:kern w:val="0"/>
      <w:sz w:val="24"/>
      <w:szCs w:val="24"/>
      <w:bdr w:val="nil"/>
    </w:rPr>
  </w:style>
  <w:style w:type="paragraph" w:styleId="a5">
    <w:name w:val="footer"/>
    <w:basedOn w:val="a"/>
    <w:link w:val="a6"/>
    <w:uiPriority w:val="99"/>
    <w:unhideWhenUsed/>
    <w:rsid w:val="004D58D3"/>
    <w:pPr>
      <w:tabs>
        <w:tab w:val="center" w:pos="4320"/>
        <w:tab w:val="right" w:pos="8640"/>
      </w:tabs>
      <w:spacing w:line="240" w:lineRule="auto"/>
    </w:pPr>
  </w:style>
  <w:style w:type="character" w:customStyle="1" w:styleId="a6">
    <w:name w:val="页脚 字符"/>
    <w:basedOn w:val="a0"/>
    <w:link w:val="a5"/>
    <w:uiPriority w:val="99"/>
    <w:rsid w:val="004D58D3"/>
    <w:rPr>
      <w:rFonts w:ascii="Times New Roman" w:hAnsi="Times New Roman" w:cs="Times New Roman"/>
      <w:kern w:val="0"/>
      <w:sz w:val="24"/>
      <w:szCs w:val="24"/>
      <w:bdr w:val="nil"/>
    </w:rPr>
  </w:style>
  <w:style w:type="paragraph" w:styleId="a7">
    <w:name w:val="List Paragraph"/>
    <w:basedOn w:val="a"/>
    <w:uiPriority w:val="34"/>
    <w:qFormat/>
    <w:rsid w:val="004D58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ind w:firstLine="420"/>
    </w:pPr>
    <w:rPr>
      <w:rFonts w:eastAsia="PMingLiU"/>
      <w:szCs w:val="20"/>
      <w:bdr w:val="none" w:sz="0" w:space="0" w:color="auto"/>
      <w:lang w:eastAsia="en-US"/>
    </w:rPr>
  </w:style>
  <w:style w:type="paragraph" w:styleId="a8">
    <w:name w:val="Revision"/>
    <w:hidden/>
    <w:uiPriority w:val="99"/>
    <w:semiHidden/>
    <w:rsid w:val="00A86B5C"/>
    <w:rPr>
      <w:rFonts w:ascii="Times New Roman" w:hAnsi="Times New Roman" w:cs="Times New Roman"/>
      <w:kern w:val="0"/>
      <w:sz w:val="24"/>
      <w:szCs w:val="24"/>
      <w:bdr w:val="nil"/>
    </w:rPr>
  </w:style>
  <w:style w:type="character" w:styleId="a9">
    <w:name w:val="Hyperlink"/>
    <w:basedOn w:val="a0"/>
    <w:uiPriority w:val="99"/>
    <w:unhideWhenUsed/>
    <w:qFormat/>
    <w:rsid w:val="005D5F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accountants.org.a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aau.org.c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2EAEA-5014-4A71-8C32-B80AE89A63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f4729d4-1545-458b-b18f-e7a7b3055437}" enabled="1" method="Privileged" siteId="{cc1d621a-92bc-4e4b-989b-a90da93583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Liu</dc:creator>
  <cp:keywords/>
  <dc:description/>
  <cp:lastModifiedBy>Jamie Wang</cp:lastModifiedBy>
  <cp:revision>70</cp:revision>
  <dcterms:created xsi:type="dcterms:W3CDTF">2022-09-05T08:52:00Z</dcterms:created>
  <dcterms:modified xsi:type="dcterms:W3CDTF">2024-03-27T07:26:00Z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5897bdd6,6ea5b5b2,122df0c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IPA/IFA -  General</vt:lpwstr>
  </property>
</Properties>
</file>