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1" w:rsidRDefault="00146951" w:rsidP="00146951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上海市注册会计师协会</w:t>
      </w:r>
    </w:p>
    <w:p w:rsidR="00146951" w:rsidRDefault="00146951" w:rsidP="00146951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年度非执业会员继续教育培训流程</w:t>
      </w:r>
    </w:p>
    <w:p w:rsidR="00146951" w:rsidRDefault="00146951" w:rsidP="00146951">
      <w:pPr>
        <w:rPr>
          <w:rFonts w:hint="eastAsia"/>
          <w:b/>
          <w:bCs/>
          <w:sz w:val="32"/>
          <w:szCs w:val="32"/>
        </w:rPr>
      </w:pPr>
    </w:p>
    <w:p w:rsidR="000C2929" w:rsidRPr="00146951" w:rsidRDefault="000C2929" w:rsidP="000C2929">
      <w:pPr>
        <w:widowControl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  <w:r w:rsidRPr="0014695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第一步：登录平台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输入网址：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http://ce.esnai.net/c/default/index.jsp?code=cpashanghai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登录培训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在“学员登录”区，输入姓名、非执业证书号、验证码登录。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2305050" cy="1695450"/>
            <wp:effectExtent l="19050" t="0" r="0" b="0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3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补充个人信息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登录后，在弹出的“补充修改个人信息”窗口，填写您的准确信息。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</w:t>
      </w:r>
      <w:r w:rsidR="00DE63BE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244986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29" w:rsidRPr="00146951" w:rsidRDefault="000C2929" w:rsidP="000C2929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4695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第二步：选课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请您选择“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2016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年度非执业继续教育”，并详细阅读“培训要求”。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183BED">
        <w:rPr>
          <w:rFonts w:ascii="Calibri" w:eastAsia="宋体" w:hAnsi="Calibri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2094230"/>
            <wp:effectExtent l="19050" t="0" r="2540" b="0"/>
            <wp:docPr id="6" name="图片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在线选课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）选课：点击“选课”后即可看到“进入学习”按钮。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）取消选课：未听课前，可点击“取消”取消选课。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3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）试听：点击“试听”可先试听课程。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请注意：课程分必修课、选修课，必修课至少需要完成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24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学时，选修课自愿学习（不计时、不考试）。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67325" cy="2943225"/>
            <wp:effectExtent l="19050" t="0" r="9525" b="0"/>
            <wp:docPr id="7" name="图片 6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51" w:rsidRPr="00146951" w:rsidRDefault="00146951" w:rsidP="000C2929">
      <w:pPr>
        <w:widowControl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</w:p>
    <w:p w:rsidR="000C2929" w:rsidRPr="00146951" w:rsidRDefault="000C2929" w:rsidP="000C2929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4695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第三步：在线学习，完成学时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在课程列表中点“进入学习”，进入课程学习中心。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723265"/>
            <wp:effectExtent l="19050" t="0" r="2540" b="0"/>
            <wp:docPr id="8" name="图片 7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学习中心功能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）课程学习：点击视频链接在线听课，系统将记录听课时长作为已完成学时。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3408045"/>
            <wp:effectExtent l="19050" t="0" r="2540" b="0"/>
            <wp:docPr id="9" name="图片 8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）课后练习：必修课程配有课后练习习题。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67325" cy="1057275"/>
            <wp:effectExtent l="19050" t="0" r="9525" b="0"/>
            <wp:docPr id="10" name="图片 9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3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）资料下载：可下载课程讲义，进行打印。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2370455"/>
            <wp:effectExtent l="19050" t="0" r="2540" b="0"/>
            <wp:docPr id="11" name="图片 10" descr="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 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4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）答疑中心：培训相关提问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24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小时内答复。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238375" cy="2524125"/>
            <wp:effectExtent l="19050" t="0" r="9525" b="0"/>
            <wp:docPr id="12" name="图片 11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3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达到培训规定的最低学时后，方可进入考试环节，学时情况请参看“培训报告”。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1590040"/>
            <wp:effectExtent l="19050" t="0" r="2540" b="0"/>
            <wp:docPr id="13" name="图片 12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51" w:rsidRDefault="00146951" w:rsidP="000C2929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0C2929" w:rsidRPr="00146951" w:rsidRDefault="000C2929" w:rsidP="000C2929">
      <w:pPr>
        <w:widowControl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  <w:r w:rsidRPr="0014695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第四步：参加考试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达到规定学时后，点击“进入考试”按钮，开始考试。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2589530"/>
            <wp:effectExtent l="19050" t="0" r="2540" b="0"/>
            <wp:docPr id="14" name="图片 13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考试为客观题，成绩考后即时显示，亦可在“培训报告”查询。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3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共有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3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次考试机会，最终成绩</w:t>
      </w:r>
      <w:proofErr w:type="gramStart"/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取最高</w:t>
      </w:r>
      <w:proofErr w:type="gramEnd"/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得分。</w:t>
      </w:r>
    </w:p>
    <w:p w:rsidR="00146951" w:rsidRDefault="00146951" w:rsidP="000C2929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0C2929" w:rsidRPr="00146951" w:rsidRDefault="000C2929" w:rsidP="000C2929">
      <w:pPr>
        <w:widowControl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  <w:r w:rsidRPr="0014695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第五步：打印合格证书，参加年检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1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考试合格后，可点击“打印合格证书”的按钮。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1809115"/>
            <wp:effectExtent l="19050" t="0" r="2540" b="0"/>
            <wp:docPr id="15" name="图片 14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2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</w:rPr>
        <w:t> 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考试合格的学员可持打印的合格证书前往协会进行年检。</w:t>
      </w:r>
    </w:p>
    <w:p w:rsidR="000C2929" w:rsidRPr="000C2929" w:rsidRDefault="00183BED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1447165"/>
            <wp:effectExtent l="19050" t="0" r="2540" b="0"/>
            <wp:docPr id="16" name="图片 15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备注：教务咨询电话及工作时间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咨询电话：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400-700-1200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（免长途，只收市话费）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咨询时间：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24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小时客服（周末不休）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传真：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021-69768028</w:t>
      </w:r>
      <w:r w:rsidRPr="000C2929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0C2929">
        <w:rPr>
          <w:rFonts w:ascii="Calibri" w:eastAsia="宋体" w:hAnsi="Calibri" w:cs="宋体"/>
          <w:color w:val="000000"/>
          <w:kern w:val="0"/>
          <w:szCs w:val="21"/>
        </w:rPr>
        <w:t>69768044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Email: elearn@snai.edu</w:t>
      </w:r>
    </w:p>
    <w:p w:rsidR="000C2929" w:rsidRPr="000C2929" w:rsidRDefault="000C2929" w:rsidP="000C292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0C2929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0C2929" w:rsidRDefault="000C2929"/>
    <w:sectPr w:rsidR="000C2929" w:rsidSect="00F0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8B" w:rsidRDefault="0061648B" w:rsidP="00146951">
      <w:r>
        <w:separator/>
      </w:r>
    </w:p>
  </w:endnote>
  <w:endnote w:type="continuationSeparator" w:id="0">
    <w:p w:rsidR="0061648B" w:rsidRDefault="0061648B" w:rsidP="0014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8B" w:rsidRDefault="0061648B" w:rsidP="00146951">
      <w:r>
        <w:separator/>
      </w:r>
    </w:p>
  </w:footnote>
  <w:footnote w:type="continuationSeparator" w:id="0">
    <w:p w:rsidR="0061648B" w:rsidRDefault="0061648B" w:rsidP="00146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929"/>
    <w:rsid w:val="000C2929"/>
    <w:rsid w:val="00146951"/>
    <w:rsid w:val="00183BED"/>
    <w:rsid w:val="0061648B"/>
    <w:rsid w:val="00DE63BE"/>
    <w:rsid w:val="00F0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929"/>
  </w:style>
  <w:style w:type="paragraph" w:styleId="a3">
    <w:name w:val="Balloon Text"/>
    <w:basedOn w:val="a"/>
    <w:link w:val="Char"/>
    <w:uiPriority w:val="99"/>
    <w:semiHidden/>
    <w:unhideWhenUsed/>
    <w:rsid w:val="00183B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3BE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695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4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46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</dc:creator>
  <cp:keywords/>
  <dc:description/>
  <cp:lastModifiedBy>shi</cp:lastModifiedBy>
  <cp:revision>5</cp:revision>
  <dcterms:created xsi:type="dcterms:W3CDTF">2016-07-04T08:01:00Z</dcterms:created>
  <dcterms:modified xsi:type="dcterms:W3CDTF">2016-07-05T04:49:00Z</dcterms:modified>
</cp:coreProperties>
</file>